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32"/>
          <w:szCs w:val="40"/>
          <w:lang w:val="en-US" w:eastAsia="zh-CN"/>
        </w:rPr>
      </w:pPr>
      <w:r>
        <w:rPr>
          <w:rFonts w:hint="eastAsia" w:ascii="方正小标宋简体" w:hAnsi="方正小标宋简体" w:eastAsia="方正小标宋简体" w:cs="方正小标宋简体"/>
          <w:sz w:val="32"/>
          <w:szCs w:val="40"/>
          <w:lang w:val="en-US" w:eastAsia="zh-CN"/>
        </w:rPr>
        <w:t>湖北经济学院学习贯彻习近平新时代中国特色社会主义</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32"/>
          <w:szCs w:val="40"/>
          <w:lang w:val="en-US" w:eastAsia="zh-CN"/>
        </w:rPr>
      </w:pPr>
      <w:r>
        <w:rPr>
          <w:rFonts w:hint="eastAsia" w:ascii="方正小标宋简体" w:hAnsi="方正小标宋简体" w:eastAsia="方正小标宋简体" w:cs="方正小标宋简体"/>
          <w:sz w:val="32"/>
          <w:szCs w:val="40"/>
          <w:lang w:val="en-US" w:eastAsia="zh-CN"/>
        </w:rPr>
        <w:t>思想主题教育二级单位优秀调研报告评选结果</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32"/>
          <w:szCs w:val="40"/>
          <w:lang w:val="en-US" w:eastAsia="zh-CN"/>
        </w:rPr>
      </w:pPr>
    </w:p>
    <w:tbl>
      <w:tblPr>
        <w:tblStyle w:val="2"/>
        <w:tblW w:w="52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650"/>
        <w:gridCol w:w="1318"/>
        <w:gridCol w:w="3921"/>
        <w:gridCol w:w="2315"/>
        <w:gridCol w:w="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40" w:hRule="atLeast"/>
          <w:tblHeader/>
          <w:jc w:val="center"/>
        </w:trPr>
        <w:tc>
          <w:tcPr>
            <w:tcW w:w="366"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bCs/>
                <w:i w:val="0"/>
                <w:iCs w:val="0"/>
                <w:color w:val="auto"/>
                <w:kern w:val="2"/>
                <w:sz w:val="20"/>
                <w:szCs w:val="20"/>
                <w:u w:val="none"/>
                <w:lang w:val="en-US" w:eastAsia="zh-Hans" w:bidi="ar-SA"/>
              </w:rPr>
            </w:pPr>
            <w:r>
              <w:rPr>
                <w:rFonts w:hint="eastAsia" w:ascii="方正仿宋_GB2312" w:hAnsi="方正仿宋_GB2312" w:eastAsia="方正仿宋_GB2312" w:cs="方正仿宋_GB2312"/>
                <w:b/>
                <w:bCs/>
                <w:i w:val="0"/>
                <w:iCs w:val="0"/>
                <w:color w:val="auto"/>
                <w:kern w:val="0"/>
                <w:sz w:val="20"/>
                <w:szCs w:val="20"/>
                <w:u w:val="none"/>
                <w:lang w:val="en-US" w:eastAsia="zh-CN" w:bidi="ar"/>
              </w:rPr>
              <w:t>序号</w:t>
            </w:r>
          </w:p>
        </w:tc>
        <w:tc>
          <w:tcPr>
            <w:tcW w:w="742"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bCs/>
                <w:i w:val="0"/>
                <w:iCs w:val="0"/>
                <w:color w:val="auto"/>
                <w:kern w:val="2"/>
                <w:sz w:val="20"/>
                <w:szCs w:val="20"/>
                <w:u w:val="none"/>
                <w:lang w:val="en-US" w:eastAsia="zh-Hans" w:bidi="ar-SA"/>
              </w:rPr>
            </w:pPr>
            <w:r>
              <w:rPr>
                <w:rFonts w:hint="eastAsia" w:ascii="方正仿宋_GB2312" w:hAnsi="方正仿宋_GB2312" w:eastAsia="方正仿宋_GB2312" w:cs="方正仿宋_GB2312"/>
                <w:b/>
                <w:bCs/>
                <w:i w:val="0"/>
                <w:iCs w:val="0"/>
                <w:color w:val="auto"/>
                <w:kern w:val="0"/>
                <w:sz w:val="20"/>
                <w:szCs w:val="20"/>
                <w:u w:val="none"/>
                <w:lang w:val="en-US" w:eastAsia="zh-CN" w:bidi="ar"/>
              </w:rPr>
              <w:t>单位名称</w:t>
            </w:r>
          </w:p>
        </w:tc>
        <w:tc>
          <w:tcPr>
            <w:tcW w:w="2208"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bCs/>
                <w:i w:val="0"/>
                <w:iCs w:val="0"/>
                <w:color w:val="auto"/>
                <w:kern w:val="2"/>
                <w:sz w:val="20"/>
                <w:szCs w:val="20"/>
                <w:u w:val="none"/>
                <w:lang w:val="en-US" w:eastAsia="zh-Hans" w:bidi="ar-SA"/>
              </w:rPr>
            </w:pPr>
            <w:r>
              <w:rPr>
                <w:rFonts w:hint="eastAsia" w:ascii="方正仿宋_GB2312" w:hAnsi="方正仿宋_GB2312" w:eastAsia="方正仿宋_GB2312" w:cs="方正仿宋_GB2312"/>
                <w:b/>
                <w:bCs/>
                <w:i w:val="0"/>
                <w:iCs w:val="0"/>
                <w:color w:val="auto"/>
                <w:kern w:val="0"/>
                <w:sz w:val="20"/>
                <w:szCs w:val="20"/>
                <w:u w:val="none"/>
                <w:lang w:val="en-US" w:eastAsia="zh-CN" w:bidi="ar"/>
              </w:rPr>
              <w:t>调研报告名称</w:t>
            </w:r>
          </w:p>
        </w:tc>
        <w:tc>
          <w:tcPr>
            <w:tcW w:w="1303" w:type="pct"/>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63" w:leftChars="-30" w:right="-63" w:rightChars="-30"/>
              <w:jc w:val="center"/>
              <w:textAlignment w:val="center"/>
              <w:rPr>
                <w:rFonts w:hint="eastAsia" w:ascii="方正仿宋_GB2312" w:hAnsi="方正仿宋_GB2312" w:eastAsia="方正仿宋_GB2312" w:cs="方正仿宋_GB2312"/>
                <w:b/>
                <w:bCs/>
                <w:i w:val="0"/>
                <w:iCs w:val="0"/>
                <w:color w:val="auto"/>
                <w:kern w:val="0"/>
                <w:sz w:val="20"/>
                <w:szCs w:val="20"/>
                <w:u w:val="none"/>
                <w:lang w:val="en-US" w:eastAsia="zh-Hans" w:bidi="ar"/>
              </w:rPr>
            </w:pPr>
            <w:r>
              <w:rPr>
                <w:rFonts w:hint="eastAsia" w:ascii="方正仿宋_GB2312" w:hAnsi="方正仿宋_GB2312" w:eastAsia="方正仿宋_GB2312" w:cs="方正仿宋_GB2312"/>
                <w:b/>
                <w:bCs/>
                <w:i w:val="0"/>
                <w:iCs w:val="0"/>
                <w:color w:val="auto"/>
                <w:kern w:val="0"/>
                <w:sz w:val="20"/>
                <w:szCs w:val="20"/>
                <w:u w:val="none"/>
                <w:lang w:val="en-US" w:eastAsia="zh-CN" w:bidi="ar"/>
              </w:rPr>
              <w:t>参与人名单</w:t>
            </w:r>
          </w:p>
        </w:tc>
        <w:tc>
          <w:tcPr>
            <w:tcW w:w="380" w:type="pct"/>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63" w:leftChars="-30" w:right="-63" w:rightChars="-30"/>
              <w:jc w:val="center"/>
              <w:textAlignment w:val="center"/>
              <w:rPr>
                <w:rFonts w:hint="eastAsia" w:ascii="方正仿宋_GB2312" w:hAnsi="方正仿宋_GB2312" w:eastAsia="方正仿宋_GB2312" w:cs="方正仿宋_GB2312"/>
                <w:b/>
                <w:bCs/>
                <w:i w:val="0"/>
                <w:iCs w:val="0"/>
                <w:color w:val="auto"/>
                <w:kern w:val="0"/>
                <w:sz w:val="20"/>
                <w:szCs w:val="20"/>
                <w:u w:val="none"/>
                <w:lang w:val="en-US" w:eastAsia="zh-CN" w:bidi="ar"/>
              </w:rPr>
            </w:pPr>
            <w:r>
              <w:rPr>
                <w:rFonts w:hint="eastAsia" w:ascii="方正仿宋_GB2312" w:hAnsi="方正仿宋_GB2312" w:eastAsia="方正仿宋_GB2312" w:cs="方正仿宋_GB2312"/>
                <w:b/>
                <w:bCs/>
                <w:i w:val="0"/>
                <w:iCs w:val="0"/>
                <w:color w:val="auto"/>
                <w:kern w:val="0"/>
                <w:sz w:val="20"/>
                <w:szCs w:val="20"/>
                <w:u w:val="none"/>
                <w:lang w:val="en-US" w:eastAsia="zh-CN" w:bidi="ar"/>
              </w:rPr>
              <w:t>获奖</w:t>
            </w:r>
          </w:p>
          <w:p>
            <w:pPr>
              <w:keepNext w:val="0"/>
              <w:keepLines w:val="0"/>
              <w:pageBreakBefore w:val="0"/>
              <w:widowControl/>
              <w:suppressLineNumbers w:val="0"/>
              <w:kinsoku/>
              <w:wordWrap/>
              <w:overflowPunct/>
              <w:topLinePunct w:val="0"/>
              <w:autoSpaceDE/>
              <w:autoSpaceDN/>
              <w:bidi w:val="0"/>
              <w:adjustRightInd/>
              <w:snapToGrid w:val="0"/>
              <w:spacing w:line="240" w:lineRule="exact"/>
              <w:ind w:left="-63" w:leftChars="-30" w:right="-63" w:rightChars="-30"/>
              <w:jc w:val="center"/>
              <w:textAlignment w:val="center"/>
              <w:rPr>
                <w:rFonts w:hint="eastAsia" w:ascii="方正仿宋_GB2312" w:hAnsi="方正仿宋_GB2312" w:eastAsia="方正仿宋_GB2312" w:cs="方正仿宋_GB2312"/>
                <w:b/>
                <w:bCs/>
                <w:i w:val="0"/>
                <w:iCs w:val="0"/>
                <w:color w:val="auto"/>
                <w:kern w:val="0"/>
                <w:sz w:val="20"/>
                <w:szCs w:val="20"/>
                <w:u w:val="none"/>
                <w:lang w:val="en-US" w:eastAsia="zh-CN" w:bidi="ar"/>
              </w:rPr>
            </w:pPr>
            <w:r>
              <w:rPr>
                <w:rFonts w:hint="eastAsia" w:ascii="方正仿宋_GB2312" w:hAnsi="方正仿宋_GB2312" w:eastAsia="方正仿宋_GB2312" w:cs="方正仿宋_GB2312"/>
                <w:b/>
                <w:bCs/>
                <w:i w:val="0"/>
                <w:iCs w:val="0"/>
                <w:color w:val="auto"/>
                <w:kern w:val="0"/>
                <w:sz w:val="20"/>
                <w:szCs w:val="20"/>
                <w:u w:val="none"/>
                <w:lang w:val="en-US" w:eastAsia="zh-CN" w:bidi="ar"/>
              </w:rPr>
              <w:t>等次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817" w:hRule="atLeast"/>
          <w:jc w:val="center"/>
        </w:trPr>
        <w:tc>
          <w:tcPr>
            <w:tcW w:w="366"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highlight w:val="none"/>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highlight w:val="none"/>
                <w:u w:val="none"/>
                <w:lang w:val="en-US" w:eastAsia="zh-CN" w:bidi="ar"/>
              </w:rPr>
              <w:t>1</w:t>
            </w:r>
          </w:p>
        </w:tc>
        <w:tc>
          <w:tcPr>
            <w:tcW w:w="742"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highlight w:val="none"/>
                <w:lang w:val="en-US" w:eastAsia="zh-CN"/>
              </w:rPr>
            </w:pPr>
            <w:r>
              <w:rPr>
                <w:rFonts w:hint="eastAsia" w:ascii="方正仿宋_GB2312" w:hAnsi="方正仿宋_GB2312" w:eastAsia="方正仿宋_GB2312" w:cs="方正仿宋_GB2312"/>
                <w:b w:val="0"/>
                <w:bCs w:val="0"/>
                <w:color w:val="auto"/>
                <w:sz w:val="20"/>
                <w:szCs w:val="20"/>
                <w:highlight w:val="none"/>
                <w:lang w:val="en-US" w:eastAsia="zh-CN"/>
              </w:rPr>
              <w:t>法学院</w:t>
            </w:r>
          </w:p>
        </w:tc>
        <w:tc>
          <w:tcPr>
            <w:tcW w:w="220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left"/>
              <w:textAlignment w:val="auto"/>
              <w:outlineLvl w:val="0"/>
              <w:rPr>
                <w:rFonts w:hint="eastAsia" w:ascii="方正仿宋_GB2312" w:hAnsi="方正仿宋_GB2312" w:eastAsia="方正仿宋_GB2312" w:cs="方正仿宋_GB2312"/>
                <w:b w:val="0"/>
                <w:bCs w:val="0"/>
                <w:color w:val="auto"/>
                <w:sz w:val="20"/>
                <w:szCs w:val="20"/>
                <w:highlight w:val="none"/>
                <w:lang w:val="en-US" w:eastAsia="zh-CN"/>
              </w:rPr>
            </w:pPr>
            <w:r>
              <w:rPr>
                <w:rFonts w:hint="eastAsia" w:ascii="方正仿宋_GB2312" w:hAnsi="方正仿宋_GB2312" w:eastAsia="方正仿宋_GB2312" w:cs="方正仿宋_GB2312"/>
                <w:b w:val="0"/>
                <w:bCs w:val="0"/>
                <w:color w:val="auto"/>
                <w:sz w:val="20"/>
                <w:szCs w:val="20"/>
                <w:highlight w:val="none"/>
                <w:lang w:val="en-US" w:eastAsia="zh-CN"/>
              </w:rPr>
              <w:t>“以学生的就业需求为导向，优化学院服务学生的平台建设”调研成果</w:t>
            </w:r>
          </w:p>
        </w:tc>
        <w:tc>
          <w:tcPr>
            <w:tcW w:w="1303" w:type="pct"/>
            <w:shd w:val="clear" w:color="auto" w:fill="FFFFFF" w:themeFill="background1"/>
            <w:noWrap/>
            <w:vAlign w:val="center"/>
          </w:tcPr>
          <w:p>
            <w:pPr>
              <w:keepNext w:val="0"/>
              <w:keepLines w:val="0"/>
              <w:pageBreakBefore w:val="0"/>
              <w:widowControl/>
              <w:numPr>
                <w:ilvl w:val="0"/>
                <w:numId w:val="0"/>
              </w:numPr>
              <w:kinsoku/>
              <w:wordWrap/>
              <w:overflowPunct/>
              <w:topLinePunct w:val="0"/>
              <w:autoSpaceDE/>
              <w:autoSpaceDN/>
              <w:bidi w:val="0"/>
              <w:adjustRightInd/>
              <w:snapToGrid w:val="0"/>
              <w:spacing w:line="240" w:lineRule="exact"/>
              <w:ind w:left="0" w:leftChars="0" w:firstLine="0" w:firstLineChars="0"/>
              <w:jc w:val="left"/>
              <w:rPr>
                <w:rFonts w:hint="eastAsia" w:ascii="方正仿宋_GB2312" w:hAnsi="方正仿宋_GB2312" w:eastAsia="方正仿宋_GB2312" w:cs="方正仿宋_GB2312"/>
                <w:b w:val="0"/>
                <w:bCs w:val="0"/>
                <w:i w:val="0"/>
                <w:iCs w:val="0"/>
                <w:color w:val="auto"/>
                <w:kern w:val="2"/>
                <w:sz w:val="20"/>
                <w:szCs w:val="20"/>
                <w:highlight w:val="none"/>
                <w:u w:val="none"/>
                <w:lang w:val="en-US" w:eastAsia="zh-CN" w:bidi="ar-SA"/>
              </w:rPr>
            </w:pPr>
            <w:r>
              <w:rPr>
                <w:rFonts w:hint="eastAsia" w:ascii="方正仿宋_GB2312" w:hAnsi="方正仿宋_GB2312" w:eastAsia="方正仿宋_GB2312" w:cs="方正仿宋_GB2312"/>
                <w:b w:val="0"/>
                <w:bCs w:val="0"/>
                <w:i w:val="0"/>
                <w:iCs w:val="0"/>
                <w:color w:val="auto"/>
                <w:sz w:val="20"/>
                <w:szCs w:val="20"/>
                <w:highlight w:val="none"/>
                <w:u w:val="none"/>
                <w:lang w:val="en-US" w:eastAsia="zh-CN"/>
              </w:rPr>
              <w:t>杨专、钟彦姝、黎桦、唐亚辉、叶雅安、司马子鸣</w:t>
            </w:r>
          </w:p>
        </w:tc>
        <w:tc>
          <w:tcPr>
            <w:tcW w:w="380" w:type="pct"/>
            <w:vMerge w:val="restar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r>
              <w:rPr>
                <w:rFonts w:hint="eastAsia" w:ascii="方正仿宋_GB2312" w:hAnsi="方正仿宋_GB2312" w:eastAsia="方正仿宋_GB2312" w:cs="方正仿宋_GB2312"/>
                <w:b/>
                <w:bCs/>
                <w:i w:val="0"/>
                <w:iCs w:val="0"/>
                <w:color w:val="auto"/>
                <w:sz w:val="20"/>
                <w:szCs w:val="20"/>
                <w:u w:val="none"/>
                <w:lang w:val="en-US" w:eastAsia="zh-CN"/>
              </w:rPr>
              <w:t>一</w:t>
            </w: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r>
              <w:rPr>
                <w:rFonts w:hint="eastAsia" w:ascii="方正仿宋_GB2312" w:hAnsi="方正仿宋_GB2312" w:eastAsia="方正仿宋_GB2312" w:cs="方正仿宋_GB2312"/>
                <w:b/>
                <w:bCs/>
                <w:i w:val="0"/>
                <w:iCs w:val="0"/>
                <w:color w:val="auto"/>
                <w:sz w:val="20"/>
                <w:szCs w:val="20"/>
                <w:u w:val="none"/>
                <w:lang w:val="en-US" w:eastAsia="zh-CN"/>
              </w:rPr>
              <w:t>等</w:t>
            </w: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lang w:val="en-US" w:eastAsia="zh-CN"/>
              </w:rPr>
            </w:pPr>
            <w:r>
              <w:rPr>
                <w:rFonts w:hint="eastAsia" w:ascii="方正仿宋_GB2312" w:hAnsi="方正仿宋_GB2312" w:eastAsia="方正仿宋_GB2312" w:cs="方正仿宋_GB2312"/>
                <w:b/>
                <w:bCs/>
                <w:i w:val="0"/>
                <w:iCs w:val="0"/>
                <w:color w:val="auto"/>
                <w:sz w:val="20"/>
                <w:szCs w:val="20"/>
                <w:u w:val="none"/>
                <w:lang w:val="en-US" w:eastAsia="zh-CN"/>
              </w:rPr>
              <w:t>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817" w:hRule="atLeast"/>
          <w:jc w:val="center"/>
        </w:trPr>
        <w:tc>
          <w:tcPr>
            <w:tcW w:w="366"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highlight w:val="none"/>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highlight w:val="none"/>
                <w:u w:val="none"/>
                <w:lang w:val="en-US" w:eastAsia="zh-CN" w:bidi="ar"/>
              </w:rPr>
              <w:t>2</w:t>
            </w:r>
          </w:p>
        </w:tc>
        <w:tc>
          <w:tcPr>
            <w:tcW w:w="742"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highlight w:val="none"/>
                <w:lang w:val="en-US" w:eastAsia="zh-CN"/>
              </w:rPr>
            </w:pPr>
            <w:r>
              <w:rPr>
                <w:rFonts w:hint="eastAsia" w:ascii="方正仿宋_GB2312" w:hAnsi="方正仿宋_GB2312" w:eastAsia="方正仿宋_GB2312" w:cs="方正仿宋_GB2312"/>
                <w:b w:val="0"/>
                <w:bCs w:val="0"/>
                <w:color w:val="auto"/>
                <w:sz w:val="20"/>
                <w:szCs w:val="20"/>
                <w:highlight w:val="none"/>
                <w:lang w:val="en-US" w:eastAsia="zh-CN"/>
              </w:rPr>
              <w:t>法商学院</w:t>
            </w:r>
          </w:p>
        </w:tc>
        <w:tc>
          <w:tcPr>
            <w:tcW w:w="220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both"/>
              <w:textAlignment w:val="auto"/>
              <w:outlineLvl w:val="0"/>
              <w:rPr>
                <w:rFonts w:hint="eastAsia" w:ascii="方正仿宋_GB2312" w:hAnsi="方正仿宋_GB2312" w:eastAsia="方正仿宋_GB2312" w:cs="方正仿宋_GB2312"/>
                <w:b w:val="0"/>
                <w:bCs w:val="0"/>
                <w:color w:val="auto"/>
                <w:sz w:val="20"/>
                <w:szCs w:val="20"/>
                <w:highlight w:val="none"/>
                <w:lang w:val="en-US" w:eastAsia="zh-CN"/>
              </w:rPr>
            </w:pPr>
            <w:r>
              <w:rPr>
                <w:rFonts w:hint="eastAsia" w:ascii="方正仿宋_GB2312" w:hAnsi="方正仿宋_GB2312" w:eastAsia="方正仿宋_GB2312" w:cs="方正仿宋_GB2312"/>
                <w:b w:val="0"/>
                <w:bCs w:val="0"/>
                <w:color w:val="auto"/>
                <w:sz w:val="20"/>
                <w:szCs w:val="20"/>
                <w:highlight w:val="none"/>
                <w:lang w:val="en-US" w:eastAsia="zh-CN"/>
              </w:rPr>
              <w:t>湖北经济学院法商学院党建工作品牌建设调研报告</w:t>
            </w:r>
          </w:p>
        </w:tc>
        <w:tc>
          <w:tcPr>
            <w:tcW w:w="1303"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highlight w:val="none"/>
                <w:u w:val="none"/>
                <w:lang w:val="en-US" w:eastAsia="zh-CN" w:bidi="ar-SA"/>
              </w:rPr>
            </w:pPr>
            <w:r>
              <w:rPr>
                <w:rFonts w:hint="eastAsia" w:ascii="方正仿宋_GB2312" w:hAnsi="方正仿宋_GB2312" w:eastAsia="方正仿宋_GB2312" w:cs="方正仿宋_GB2312"/>
                <w:b w:val="0"/>
                <w:bCs w:val="0"/>
                <w:i w:val="0"/>
                <w:iCs w:val="0"/>
                <w:color w:val="auto"/>
                <w:sz w:val="20"/>
                <w:szCs w:val="20"/>
                <w:highlight w:val="none"/>
                <w:u w:val="none"/>
                <w:lang w:val="en-US" w:eastAsia="zh-CN"/>
              </w:rPr>
              <w:t>邓志华、单敏、周刚、郝甜、张平平、曾梦玲、邢宇、李雪民、</w:t>
            </w:r>
          </w:p>
        </w:tc>
        <w:tc>
          <w:tcPr>
            <w:tcW w:w="380"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49" w:hRule="atLeast"/>
          <w:jc w:val="center"/>
        </w:trPr>
        <w:tc>
          <w:tcPr>
            <w:tcW w:w="366"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highlight w:val="none"/>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highlight w:val="none"/>
                <w:u w:val="none"/>
                <w:lang w:val="en-US" w:eastAsia="zh-CN" w:bidi="ar"/>
              </w:rPr>
              <w:t>3</w:t>
            </w:r>
          </w:p>
        </w:tc>
        <w:tc>
          <w:tcPr>
            <w:tcW w:w="742"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highlight w:val="none"/>
                <w:lang w:val="en-US" w:eastAsia="zh-CN"/>
              </w:rPr>
            </w:pPr>
            <w:r>
              <w:rPr>
                <w:rFonts w:hint="eastAsia" w:ascii="方正仿宋_GB2312" w:hAnsi="方正仿宋_GB2312" w:eastAsia="方正仿宋_GB2312" w:cs="方正仿宋_GB2312"/>
                <w:b w:val="0"/>
                <w:bCs w:val="0"/>
                <w:color w:val="auto"/>
                <w:sz w:val="20"/>
                <w:szCs w:val="20"/>
                <w:highlight w:val="none"/>
                <w:lang w:val="en-US" w:eastAsia="zh-CN"/>
              </w:rPr>
              <w:t>党委统战部</w:t>
            </w:r>
          </w:p>
        </w:tc>
        <w:tc>
          <w:tcPr>
            <w:tcW w:w="220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both"/>
              <w:textAlignment w:val="auto"/>
              <w:outlineLvl w:val="0"/>
              <w:rPr>
                <w:rFonts w:hint="eastAsia" w:ascii="方正仿宋_GB2312" w:hAnsi="方正仿宋_GB2312" w:eastAsia="方正仿宋_GB2312" w:cs="方正仿宋_GB2312"/>
                <w:b w:val="0"/>
                <w:bCs w:val="0"/>
                <w:color w:val="auto"/>
                <w:sz w:val="20"/>
                <w:szCs w:val="20"/>
                <w:highlight w:val="none"/>
                <w:lang w:val="en-US" w:eastAsia="zh-CN"/>
              </w:rPr>
            </w:pPr>
            <w:r>
              <w:rPr>
                <w:rFonts w:hint="eastAsia" w:ascii="方正仿宋_GB2312" w:hAnsi="方正仿宋_GB2312" w:eastAsia="方正仿宋_GB2312" w:cs="方正仿宋_GB2312"/>
                <w:b w:val="0"/>
                <w:bCs w:val="0"/>
                <w:color w:val="auto"/>
                <w:sz w:val="20"/>
                <w:szCs w:val="20"/>
                <w:highlight w:val="none"/>
                <w:lang w:val="en-US" w:eastAsia="zh-CN"/>
              </w:rPr>
              <w:t>湖北经济学院党外知识分子参政议政作用发挥问题及对策研究调研报告</w:t>
            </w:r>
          </w:p>
        </w:tc>
        <w:tc>
          <w:tcPr>
            <w:tcW w:w="1303"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highlight w:val="none"/>
                <w:u w:val="none"/>
                <w:lang w:val="en-US" w:eastAsia="zh-CN" w:bidi="ar-SA"/>
              </w:rPr>
            </w:pPr>
            <w:r>
              <w:rPr>
                <w:rFonts w:hint="eastAsia" w:ascii="方正仿宋_GB2312" w:hAnsi="方正仿宋_GB2312" w:eastAsia="方正仿宋_GB2312" w:cs="方正仿宋_GB2312"/>
                <w:b w:val="0"/>
                <w:bCs w:val="0"/>
                <w:i w:val="0"/>
                <w:iCs w:val="0"/>
                <w:color w:val="auto"/>
                <w:sz w:val="20"/>
                <w:szCs w:val="20"/>
                <w:highlight w:val="none"/>
                <w:u w:val="none"/>
                <w:lang w:val="en-US" w:eastAsia="zh-CN"/>
              </w:rPr>
              <w:t>汤中秋、储环</w:t>
            </w:r>
          </w:p>
        </w:tc>
        <w:tc>
          <w:tcPr>
            <w:tcW w:w="380"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366"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highlight w:val="none"/>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highlight w:val="none"/>
                <w:u w:val="none"/>
                <w:lang w:val="en-US" w:eastAsia="zh-CN" w:bidi="ar"/>
              </w:rPr>
              <w:t>4</w:t>
            </w:r>
          </w:p>
        </w:tc>
        <w:tc>
          <w:tcPr>
            <w:tcW w:w="742"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highlight w:val="none"/>
                <w:lang w:val="en-US" w:eastAsia="zh-CN"/>
              </w:rPr>
            </w:pPr>
            <w:r>
              <w:rPr>
                <w:rFonts w:hint="eastAsia" w:ascii="方正仿宋_GB2312" w:hAnsi="方正仿宋_GB2312" w:eastAsia="方正仿宋_GB2312" w:cs="方正仿宋_GB2312"/>
                <w:b w:val="0"/>
                <w:bCs w:val="0"/>
                <w:color w:val="auto"/>
                <w:sz w:val="20"/>
                <w:szCs w:val="20"/>
                <w:highlight w:val="none"/>
                <w:lang w:val="en-US" w:eastAsia="zh-CN"/>
              </w:rPr>
              <w:t>教务处</w:t>
            </w:r>
          </w:p>
        </w:tc>
        <w:tc>
          <w:tcPr>
            <w:tcW w:w="220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both"/>
              <w:textAlignment w:val="auto"/>
              <w:outlineLvl w:val="0"/>
              <w:rPr>
                <w:rFonts w:hint="eastAsia" w:ascii="方正仿宋_GB2312" w:hAnsi="方正仿宋_GB2312" w:eastAsia="方正仿宋_GB2312" w:cs="方正仿宋_GB2312"/>
                <w:b w:val="0"/>
                <w:bCs w:val="0"/>
                <w:color w:val="auto"/>
                <w:sz w:val="20"/>
                <w:szCs w:val="20"/>
                <w:highlight w:val="none"/>
              </w:rPr>
            </w:pPr>
            <w:r>
              <w:rPr>
                <w:rFonts w:hint="eastAsia" w:ascii="方正仿宋_GB2312" w:hAnsi="方正仿宋_GB2312" w:eastAsia="方正仿宋_GB2312" w:cs="方正仿宋_GB2312"/>
                <w:b w:val="0"/>
                <w:bCs w:val="0"/>
                <w:color w:val="auto"/>
                <w:sz w:val="20"/>
                <w:szCs w:val="20"/>
                <w:highlight w:val="none"/>
                <w:lang w:val="en-US" w:eastAsia="zh-CN"/>
              </w:rPr>
              <w:t>湖北经济学院学科竞赛工作情况调研报告</w:t>
            </w:r>
          </w:p>
        </w:tc>
        <w:tc>
          <w:tcPr>
            <w:tcW w:w="1303" w:type="pct"/>
            <w:shd w:val="clear" w:color="auto" w:fill="FFFFFF" w:themeFill="background1"/>
            <w:noWrap/>
            <w:vAlign w:val="center"/>
          </w:tcPr>
          <w:p>
            <w:pPr>
              <w:keepNext w:val="0"/>
              <w:keepLines w:val="0"/>
              <w:pageBreakBefore w:val="0"/>
              <w:pBdr>
                <w:bottom w:val="none" w:color="auto" w:sz="0" w:space="0"/>
              </w:pBdr>
              <w:kinsoku/>
              <w:wordWrap/>
              <w:overflowPunct/>
              <w:topLinePunct w:val="0"/>
              <w:autoSpaceDE/>
              <w:autoSpaceDN/>
              <w:bidi w:val="0"/>
              <w:adjustRightInd/>
              <w:snapToGrid/>
              <w:spacing w:line="240" w:lineRule="exact"/>
              <w:jc w:val="left"/>
              <w:rPr>
                <w:rFonts w:hint="eastAsia" w:ascii="方正仿宋_GB2312" w:hAnsi="方正仿宋_GB2312" w:eastAsia="方正仿宋_GB2312" w:cs="方正仿宋_GB2312"/>
                <w:color w:val="auto"/>
                <w:kern w:val="2"/>
                <w:sz w:val="20"/>
                <w:szCs w:val="20"/>
                <w:lang w:val="en-US" w:eastAsia="zh-CN" w:bidi="ar-SA"/>
              </w:rPr>
            </w:pPr>
            <w:r>
              <w:rPr>
                <w:rFonts w:hint="eastAsia" w:ascii="方正仿宋_GB2312" w:hAnsi="方正仿宋_GB2312" w:eastAsia="方正仿宋_GB2312" w:cs="方正仿宋_GB2312"/>
                <w:i w:val="0"/>
                <w:strike w:val="0"/>
                <w:color w:val="auto"/>
                <w:sz w:val="20"/>
                <w:szCs w:val="20"/>
                <w:u w:val="none"/>
              </w:rPr>
              <w:t>戴化勇、李正旺、杨文</w:t>
            </w:r>
            <w:r>
              <w:rPr>
                <w:rFonts w:hint="eastAsia" w:ascii="方正仿宋_GB2312" w:hAnsi="方正仿宋_GB2312" w:eastAsia="方正仿宋_GB2312" w:cs="方正仿宋_GB2312"/>
                <w:i w:val="0"/>
                <w:strike w:val="0"/>
                <w:color w:val="auto"/>
                <w:sz w:val="20"/>
                <w:szCs w:val="20"/>
                <w:u w:val="none"/>
                <w:lang w:val="en-US" w:eastAsia="zh-CN"/>
              </w:rPr>
              <w:t>绮</w:t>
            </w:r>
            <w:bookmarkStart w:id="0" w:name="_GoBack"/>
            <w:bookmarkEnd w:id="0"/>
            <w:r>
              <w:rPr>
                <w:rFonts w:hint="eastAsia" w:ascii="方正仿宋_GB2312" w:hAnsi="方正仿宋_GB2312" w:eastAsia="方正仿宋_GB2312" w:cs="方正仿宋_GB2312"/>
                <w:i w:val="0"/>
                <w:strike w:val="0"/>
                <w:color w:val="auto"/>
                <w:sz w:val="20"/>
                <w:szCs w:val="20"/>
                <w:u w:val="none"/>
              </w:rPr>
              <w:t>、叶提芳</w:t>
            </w:r>
          </w:p>
        </w:tc>
        <w:tc>
          <w:tcPr>
            <w:tcW w:w="380"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366"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highlight w:val="none"/>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highlight w:val="none"/>
                <w:u w:val="none"/>
                <w:lang w:val="en-US" w:eastAsia="zh-CN" w:bidi="ar"/>
              </w:rPr>
              <w:t>5</w:t>
            </w:r>
          </w:p>
        </w:tc>
        <w:tc>
          <w:tcPr>
            <w:tcW w:w="742"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highlight w:val="none"/>
                <w:lang w:val="en-US" w:eastAsia="zh-CN"/>
              </w:rPr>
            </w:pPr>
            <w:r>
              <w:rPr>
                <w:rFonts w:hint="eastAsia" w:ascii="方正仿宋_GB2312" w:hAnsi="方正仿宋_GB2312" w:eastAsia="方正仿宋_GB2312" w:cs="方正仿宋_GB2312"/>
                <w:b w:val="0"/>
                <w:bCs w:val="0"/>
                <w:color w:val="auto"/>
                <w:sz w:val="20"/>
                <w:szCs w:val="20"/>
                <w:highlight w:val="none"/>
                <w:lang w:val="en-US" w:eastAsia="zh-CN"/>
              </w:rPr>
              <w:t>金融学院</w:t>
            </w:r>
          </w:p>
        </w:tc>
        <w:tc>
          <w:tcPr>
            <w:tcW w:w="220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both"/>
              <w:textAlignment w:val="auto"/>
              <w:outlineLvl w:val="0"/>
              <w:rPr>
                <w:rFonts w:hint="eastAsia" w:ascii="方正仿宋_GB2312" w:hAnsi="方正仿宋_GB2312" w:eastAsia="方正仿宋_GB2312" w:cs="方正仿宋_GB2312"/>
                <w:b w:val="0"/>
                <w:bCs w:val="0"/>
                <w:color w:val="auto"/>
                <w:sz w:val="20"/>
                <w:szCs w:val="20"/>
                <w:highlight w:val="none"/>
                <w:lang w:val="en-US" w:eastAsia="zh-CN"/>
              </w:rPr>
            </w:pPr>
            <w:r>
              <w:rPr>
                <w:rFonts w:hint="eastAsia" w:ascii="方正仿宋_GB2312" w:hAnsi="方正仿宋_GB2312" w:eastAsia="方正仿宋_GB2312" w:cs="方正仿宋_GB2312"/>
                <w:b w:val="0"/>
                <w:bCs w:val="0"/>
                <w:color w:val="auto"/>
                <w:sz w:val="20"/>
                <w:szCs w:val="20"/>
                <w:highlight w:val="none"/>
                <w:lang w:val="en-US" w:eastAsia="zh-CN"/>
              </w:rPr>
              <w:t>金融学院学生成长面临的困惑与纾解调研报告</w:t>
            </w:r>
          </w:p>
        </w:tc>
        <w:tc>
          <w:tcPr>
            <w:tcW w:w="1303" w:type="pct"/>
            <w:shd w:val="clear" w:color="auto" w:fill="FFFFFF" w:themeFill="background1"/>
            <w:noWrap/>
            <w:vAlign w:val="center"/>
          </w:tcPr>
          <w:p>
            <w:pPr>
              <w:keepNext w:val="0"/>
              <w:keepLines w:val="0"/>
              <w:pageBreakBefore w:val="0"/>
              <w:widowControl/>
              <w:pBdr>
                <w:bottom w:val="none" w:color="auto" w:sz="0" w:space="0"/>
              </w:pBdr>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highlight w:val="none"/>
                <w:u w:val="none"/>
                <w:lang w:val="en-US" w:eastAsia="zh-CN" w:bidi="ar-SA"/>
              </w:rPr>
            </w:pPr>
            <w:r>
              <w:rPr>
                <w:rFonts w:hint="eastAsia" w:ascii="方正仿宋_GB2312" w:hAnsi="方正仿宋_GB2312" w:eastAsia="方正仿宋_GB2312" w:cs="方正仿宋_GB2312"/>
                <w:b w:val="0"/>
                <w:bCs w:val="0"/>
                <w:i w:val="0"/>
                <w:iCs w:val="0"/>
                <w:color w:val="auto"/>
                <w:sz w:val="20"/>
                <w:szCs w:val="20"/>
                <w:highlight w:val="none"/>
                <w:u w:val="none"/>
                <w:lang w:val="en-US" w:eastAsia="zh-CN"/>
              </w:rPr>
              <w:t>高师、杨申燕、周文、谷木荣、张偲、欧姣姣、孙光涛、樊非、姚璐璐、黄韵瑾、张一蔓</w:t>
            </w:r>
          </w:p>
        </w:tc>
        <w:tc>
          <w:tcPr>
            <w:tcW w:w="380"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366"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6</w:t>
            </w:r>
          </w:p>
        </w:tc>
        <w:tc>
          <w:tcPr>
            <w:tcW w:w="742"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图书馆</w:t>
            </w:r>
          </w:p>
        </w:tc>
        <w:tc>
          <w:tcPr>
            <w:tcW w:w="220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both"/>
              <w:textAlignment w:val="auto"/>
              <w:outlineLvl w:val="0"/>
              <w:rPr>
                <w:rFonts w:hint="eastAsia" w:ascii="方正仿宋_GB2312" w:hAnsi="方正仿宋_GB2312" w:eastAsia="方正仿宋_GB2312" w:cs="方正仿宋_GB2312"/>
                <w:b w:val="0"/>
                <w:bCs w:val="0"/>
                <w:color w:val="auto"/>
                <w:sz w:val="20"/>
                <w:szCs w:val="20"/>
              </w:rPr>
            </w:pPr>
            <w:r>
              <w:rPr>
                <w:rFonts w:hint="eastAsia" w:ascii="方正仿宋_GB2312" w:hAnsi="方正仿宋_GB2312" w:eastAsia="方正仿宋_GB2312" w:cs="方正仿宋_GB2312"/>
                <w:b w:val="0"/>
                <w:bCs w:val="0"/>
                <w:color w:val="auto"/>
                <w:sz w:val="20"/>
                <w:szCs w:val="20"/>
                <w:lang w:val="en-US" w:eastAsia="zh-CN"/>
              </w:rPr>
              <w:t>关于改善图书馆阅读环境的调研报告</w:t>
            </w:r>
          </w:p>
        </w:tc>
        <w:tc>
          <w:tcPr>
            <w:tcW w:w="1303"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薛吉宝、周雁军、刘冶、明莉、刘金、袁小娟、胡婷、段菲菲、程水英、杜雅君</w:t>
            </w:r>
          </w:p>
        </w:tc>
        <w:tc>
          <w:tcPr>
            <w:tcW w:w="380" w:type="pct"/>
            <w:vMerge w:val="restar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r>
              <w:rPr>
                <w:rFonts w:hint="eastAsia" w:ascii="方正仿宋_GB2312" w:hAnsi="方正仿宋_GB2312" w:eastAsia="方正仿宋_GB2312" w:cs="方正仿宋_GB2312"/>
                <w:b/>
                <w:bCs/>
                <w:i w:val="0"/>
                <w:iCs w:val="0"/>
                <w:color w:val="auto"/>
                <w:sz w:val="20"/>
                <w:szCs w:val="20"/>
                <w:u w:val="none"/>
                <w:lang w:val="en-US" w:eastAsia="zh-CN"/>
              </w:rPr>
              <w:t>二</w:t>
            </w: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r>
              <w:rPr>
                <w:rFonts w:hint="eastAsia" w:ascii="方正仿宋_GB2312" w:hAnsi="方正仿宋_GB2312" w:eastAsia="方正仿宋_GB2312" w:cs="方正仿宋_GB2312"/>
                <w:b/>
                <w:bCs/>
                <w:i w:val="0"/>
                <w:iCs w:val="0"/>
                <w:color w:val="auto"/>
                <w:sz w:val="20"/>
                <w:szCs w:val="20"/>
                <w:u w:val="none"/>
                <w:lang w:val="en-US" w:eastAsia="zh-CN"/>
              </w:rPr>
              <w:t>等</w:t>
            </w: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r>
              <w:rPr>
                <w:rFonts w:hint="eastAsia" w:ascii="方正仿宋_GB2312" w:hAnsi="方正仿宋_GB2312" w:eastAsia="方正仿宋_GB2312" w:cs="方正仿宋_GB2312"/>
                <w:b/>
                <w:bCs/>
                <w:i w:val="0"/>
                <w:iCs w:val="0"/>
                <w:color w:val="auto"/>
                <w:sz w:val="20"/>
                <w:szCs w:val="20"/>
                <w:u w:val="none"/>
                <w:lang w:val="en-US" w:eastAsia="zh-CN"/>
              </w:rPr>
              <w:t>奖</w:t>
            </w: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p>
          <w:p>
            <w:pPr>
              <w:keepNext w:val="0"/>
              <w:keepLines w:val="0"/>
              <w:pageBreakBefore w:val="0"/>
              <w:widowControl/>
              <w:kinsoku/>
              <w:wordWrap/>
              <w:overflowPunct/>
              <w:topLinePunct w:val="0"/>
              <w:autoSpaceDE/>
              <w:autoSpaceDN/>
              <w:bidi w:val="0"/>
              <w:adjustRightInd/>
              <w:snapToGrid w:val="0"/>
              <w:spacing w:line="240" w:lineRule="exact"/>
              <w:jc w:val="both"/>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366"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7</w:t>
            </w:r>
          </w:p>
        </w:tc>
        <w:tc>
          <w:tcPr>
            <w:tcW w:w="742"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艺术设计学院</w:t>
            </w:r>
          </w:p>
        </w:tc>
        <w:tc>
          <w:tcPr>
            <w:tcW w:w="220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left"/>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关于推进师生支部共建的调研报告</w:t>
            </w:r>
            <w:r>
              <w:rPr>
                <w:rFonts w:hint="eastAsia" w:ascii="方正仿宋_GB2312" w:hAnsi="方正仿宋_GB2312" w:eastAsia="方正仿宋_GB2312" w:cs="方正仿宋_GB2312"/>
                <w:b w:val="0"/>
                <w:bCs w:val="0"/>
                <w:color w:val="auto"/>
                <w:sz w:val="20"/>
                <w:szCs w:val="20"/>
                <w:lang w:eastAsia="zh-CN"/>
              </w:rPr>
              <w:t>——</w:t>
            </w:r>
            <w:r>
              <w:rPr>
                <w:rFonts w:hint="eastAsia" w:ascii="方正仿宋_GB2312" w:hAnsi="方正仿宋_GB2312" w:eastAsia="方正仿宋_GB2312" w:cs="方正仿宋_GB2312"/>
                <w:b w:val="0"/>
                <w:bCs w:val="0"/>
                <w:color w:val="auto"/>
                <w:sz w:val="20"/>
                <w:szCs w:val="20"/>
              </w:rPr>
              <w:t>以湖北经济学院艺术设计学院为例</w:t>
            </w:r>
          </w:p>
        </w:tc>
        <w:tc>
          <w:tcPr>
            <w:tcW w:w="1303"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i w:val="0"/>
                <w:strike w:val="0"/>
                <w:color w:val="auto"/>
                <w:spacing w:val="0"/>
                <w:sz w:val="20"/>
                <w:szCs w:val="20"/>
                <w:u w:val="none"/>
              </w:rPr>
              <w:t>蒋琼、顾琛、万庆召、张洋、王宏飞、李祥文、叶劲松、廖诗凡、周帆、郗宏博</w:t>
            </w:r>
          </w:p>
        </w:tc>
        <w:tc>
          <w:tcPr>
            <w:tcW w:w="380"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21" w:hRule="atLeast"/>
          <w:jc w:val="center"/>
        </w:trPr>
        <w:tc>
          <w:tcPr>
            <w:tcW w:w="366"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8</w:t>
            </w:r>
          </w:p>
        </w:tc>
        <w:tc>
          <w:tcPr>
            <w:tcW w:w="742"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会计学院</w:t>
            </w:r>
          </w:p>
        </w:tc>
        <w:tc>
          <w:tcPr>
            <w:tcW w:w="2208" w:type="pct"/>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val="0"/>
              <w:spacing w:line="240" w:lineRule="exact"/>
              <w:jc w:val="both"/>
              <w:textAlignment w:val="auto"/>
              <w:rPr>
                <w:rFonts w:hint="eastAsia" w:ascii="方正仿宋_GB2312" w:hAnsi="方正仿宋_GB2312" w:eastAsia="方正仿宋_GB2312" w:cs="方正仿宋_GB2312"/>
                <w:b w:val="0"/>
                <w:bCs w:val="0"/>
                <w:color w:val="auto"/>
                <w:sz w:val="20"/>
                <w:szCs w:val="20"/>
                <w:lang w:eastAsia="zh-CN"/>
              </w:rPr>
            </w:pPr>
            <w:r>
              <w:rPr>
                <w:rFonts w:hint="eastAsia" w:ascii="方正仿宋_GB2312" w:hAnsi="方正仿宋_GB2312" w:eastAsia="方正仿宋_GB2312" w:cs="方正仿宋_GB2312"/>
                <w:b w:val="0"/>
                <w:bCs w:val="0"/>
                <w:color w:val="auto"/>
                <w:sz w:val="20"/>
                <w:szCs w:val="20"/>
                <w:lang w:val="en-US" w:eastAsia="zh-CN"/>
              </w:rPr>
              <w:t>会计学院学生第二课堂现状与对策研究</w:t>
            </w:r>
          </w:p>
        </w:tc>
        <w:tc>
          <w:tcPr>
            <w:tcW w:w="1303"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王友刚、李阳阳、蔡卓嵘、李玉强</w:t>
            </w:r>
          </w:p>
        </w:tc>
        <w:tc>
          <w:tcPr>
            <w:tcW w:w="380"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366"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9</w:t>
            </w:r>
          </w:p>
        </w:tc>
        <w:tc>
          <w:tcPr>
            <w:tcW w:w="742"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教师发展中心</w:t>
            </w:r>
          </w:p>
        </w:tc>
        <w:tc>
          <w:tcPr>
            <w:tcW w:w="220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both"/>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关于高质量推进学校教师发展体系建设的调研报告</w:t>
            </w:r>
          </w:p>
        </w:tc>
        <w:tc>
          <w:tcPr>
            <w:tcW w:w="1303"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彭芸、李文杰</w:t>
            </w:r>
          </w:p>
        </w:tc>
        <w:tc>
          <w:tcPr>
            <w:tcW w:w="380"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6"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10</w:t>
            </w:r>
          </w:p>
        </w:tc>
        <w:tc>
          <w:tcPr>
            <w:tcW w:w="742" w:type="pct"/>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财务处</w:t>
            </w:r>
          </w:p>
        </w:tc>
        <w:tc>
          <w:tcPr>
            <w:tcW w:w="2208" w:type="pct"/>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240" w:lineRule="exact"/>
              <w:jc w:val="left"/>
              <w:textAlignment w:val="auto"/>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rPr>
              <w:t xml:space="preserve">创新横向课题代账机制 </w:t>
            </w:r>
            <w:r>
              <w:rPr>
                <w:rFonts w:hint="eastAsia" w:ascii="方正仿宋_GB2312" w:hAnsi="方正仿宋_GB2312" w:eastAsia="方正仿宋_GB2312" w:cs="方正仿宋_GB2312"/>
                <w:b w:val="0"/>
                <w:bCs w:val="0"/>
                <w:color w:val="auto"/>
                <w:sz w:val="20"/>
                <w:szCs w:val="20"/>
                <w:lang w:val="en-US" w:eastAsia="zh-CN"/>
              </w:rPr>
              <w:t xml:space="preserve"> </w:t>
            </w:r>
            <w:r>
              <w:rPr>
                <w:rFonts w:hint="eastAsia" w:ascii="方正仿宋_GB2312" w:hAnsi="方正仿宋_GB2312" w:eastAsia="方正仿宋_GB2312" w:cs="方正仿宋_GB2312"/>
                <w:b w:val="0"/>
                <w:bCs w:val="0"/>
                <w:color w:val="auto"/>
                <w:sz w:val="20"/>
                <w:szCs w:val="20"/>
              </w:rPr>
              <w:t>赋能科研收入有效增长</w:t>
            </w:r>
            <w:r>
              <w:rPr>
                <w:rFonts w:hint="eastAsia" w:ascii="方正仿宋_GB2312" w:hAnsi="方正仿宋_GB2312" w:eastAsia="方正仿宋_GB2312" w:cs="方正仿宋_GB2312"/>
                <w:b w:val="0"/>
                <w:bCs w:val="0"/>
                <w:color w:val="auto"/>
                <w:sz w:val="20"/>
                <w:szCs w:val="20"/>
                <w:lang w:eastAsia="zh-CN"/>
              </w:rPr>
              <w:t>——</w:t>
            </w:r>
            <w:r>
              <w:rPr>
                <w:rFonts w:hint="eastAsia" w:ascii="方正仿宋_GB2312" w:hAnsi="方正仿宋_GB2312" w:eastAsia="方正仿宋_GB2312" w:cs="方正仿宋_GB2312"/>
                <w:b w:val="0"/>
                <w:bCs w:val="0"/>
                <w:color w:val="auto"/>
                <w:sz w:val="20"/>
                <w:szCs w:val="20"/>
              </w:rPr>
              <w:t>财务处党支部调研报告</w:t>
            </w:r>
          </w:p>
        </w:tc>
        <w:tc>
          <w:tcPr>
            <w:tcW w:w="1303"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杨凡、杨军、涂宇琼、邹勇强、</w:t>
            </w:r>
            <w:r>
              <w:rPr>
                <w:rFonts w:hint="eastAsia" w:ascii="方正仿宋_GB2312" w:hAnsi="方正仿宋_GB2312" w:eastAsia="方正仿宋_GB2312" w:cs="方正仿宋_GB2312"/>
                <w:b w:val="0"/>
                <w:i w:val="0"/>
                <w:strike w:val="0"/>
                <w:color w:val="auto"/>
                <w:spacing w:val="0"/>
                <w:sz w:val="20"/>
                <w:szCs w:val="20"/>
                <w:u w:val="none"/>
              </w:rPr>
              <w:t>金莉、叶麟子、王辉、徐振乾、周丽雯</w:t>
            </w:r>
          </w:p>
        </w:tc>
        <w:tc>
          <w:tcPr>
            <w:tcW w:w="380"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366"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11</w:t>
            </w:r>
          </w:p>
        </w:tc>
        <w:tc>
          <w:tcPr>
            <w:tcW w:w="742" w:type="pct"/>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资产与设备</w:t>
            </w:r>
          </w:p>
          <w:p>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管理处</w:t>
            </w:r>
          </w:p>
        </w:tc>
        <w:tc>
          <w:tcPr>
            <w:tcW w:w="220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ind w:left="-42" w:leftChars="-20" w:right="-42" w:rightChars="-20"/>
              <w:jc w:val="left"/>
              <w:textAlignment w:val="auto"/>
              <w:outlineLvl w:val="0"/>
              <w:rPr>
                <w:rFonts w:hint="eastAsia" w:ascii="方正仿宋_GB2312" w:hAnsi="方正仿宋_GB2312" w:eastAsia="方正仿宋_GB2312" w:cs="方正仿宋_GB2312"/>
                <w:b w:val="0"/>
                <w:bCs w:val="0"/>
                <w:color w:val="auto"/>
                <w:sz w:val="20"/>
                <w:szCs w:val="20"/>
                <w:lang w:eastAsia="zh-CN"/>
              </w:rPr>
            </w:pPr>
            <w:r>
              <w:rPr>
                <w:rFonts w:hint="eastAsia" w:ascii="方正仿宋_GB2312" w:hAnsi="方正仿宋_GB2312" w:eastAsia="方正仿宋_GB2312" w:cs="方正仿宋_GB2312"/>
                <w:b w:val="0"/>
                <w:bCs w:val="0"/>
                <w:color w:val="auto"/>
                <w:spacing w:val="-6"/>
                <w:sz w:val="20"/>
                <w:szCs w:val="20"/>
                <w:lang w:val="en-US" w:eastAsia="zh-CN"/>
              </w:rPr>
              <w:t>从师生关切的教室宿舍资产配给和数字化服务提升师生满意度获得感</w:t>
            </w:r>
          </w:p>
        </w:tc>
        <w:tc>
          <w:tcPr>
            <w:tcW w:w="1303"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刘成云、何成林、吴鹭、范怡媛、宋爱民、王建华</w:t>
            </w:r>
          </w:p>
        </w:tc>
        <w:tc>
          <w:tcPr>
            <w:tcW w:w="380"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85" w:hRule="atLeast"/>
          <w:jc w:val="center"/>
        </w:trPr>
        <w:tc>
          <w:tcPr>
            <w:tcW w:w="366"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default"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12</w:t>
            </w:r>
          </w:p>
        </w:tc>
        <w:tc>
          <w:tcPr>
            <w:tcW w:w="742" w:type="pct"/>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低碳经济学院</w:t>
            </w:r>
          </w:p>
        </w:tc>
        <w:tc>
          <w:tcPr>
            <w:tcW w:w="220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低碳经济学院“如何做好真协同 提高学术生产力”专题调研工作报告</w:t>
            </w:r>
          </w:p>
        </w:tc>
        <w:tc>
          <w:tcPr>
            <w:tcW w:w="1303"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t>严飞、索凯峰、王珂英、刘习平、汪金伟</w:t>
            </w:r>
          </w:p>
        </w:tc>
        <w:tc>
          <w:tcPr>
            <w:tcW w:w="380"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32" w:hRule="atLeast"/>
          <w:jc w:val="center"/>
        </w:trPr>
        <w:tc>
          <w:tcPr>
            <w:tcW w:w="366"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13</w:t>
            </w:r>
          </w:p>
        </w:tc>
        <w:tc>
          <w:tcPr>
            <w:tcW w:w="742" w:type="pct"/>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学校办公室</w:t>
            </w:r>
          </w:p>
        </w:tc>
        <w:tc>
          <w:tcPr>
            <w:tcW w:w="220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both"/>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rPr>
              <w:t>校园文化产品经营模式调研</w:t>
            </w:r>
          </w:p>
        </w:tc>
        <w:tc>
          <w:tcPr>
            <w:tcW w:w="1303"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张凤松、戴剑、宁密成、夏炼</w:t>
            </w:r>
          </w:p>
        </w:tc>
        <w:tc>
          <w:tcPr>
            <w:tcW w:w="380"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65" w:hRule="atLeast"/>
          <w:jc w:val="center"/>
        </w:trPr>
        <w:tc>
          <w:tcPr>
            <w:tcW w:w="366"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14</w:t>
            </w:r>
          </w:p>
        </w:tc>
        <w:tc>
          <w:tcPr>
            <w:tcW w:w="742" w:type="pct"/>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保卫部（处）</w:t>
            </w:r>
          </w:p>
        </w:tc>
        <w:tc>
          <w:tcPr>
            <w:tcW w:w="220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left"/>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保卫处党支部主题教育关于学校电动车管理的调研报告</w:t>
            </w:r>
          </w:p>
        </w:tc>
        <w:tc>
          <w:tcPr>
            <w:tcW w:w="1303"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姚自平、王黛昭、孔军、王勇军、施维、夏晓玉</w:t>
            </w:r>
          </w:p>
        </w:tc>
        <w:tc>
          <w:tcPr>
            <w:tcW w:w="380"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74" w:hRule="atLeast"/>
          <w:jc w:val="center"/>
        </w:trPr>
        <w:tc>
          <w:tcPr>
            <w:tcW w:w="366"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15</w:t>
            </w:r>
          </w:p>
        </w:tc>
        <w:tc>
          <w:tcPr>
            <w:tcW w:w="742" w:type="pct"/>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党委组织部</w:t>
            </w:r>
          </w:p>
        </w:tc>
        <w:tc>
          <w:tcPr>
            <w:tcW w:w="2208" w:type="pct"/>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我校基层党支部开展样板支部创建的现状与问题分析</w:t>
            </w:r>
          </w:p>
        </w:tc>
        <w:tc>
          <w:tcPr>
            <w:tcW w:w="1303"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王平、夏菲、陈祥、林哲宇</w:t>
            </w:r>
          </w:p>
        </w:tc>
        <w:tc>
          <w:tcPr>
            <w:tcW w:w="380"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bl>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br w:type="page"/>
      </w:r>
    </w:p>
    <w:tbl>
      <w:tblPr>
        <w:tblStyle w:val="2"/>
        <w:tblW w:w="52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613"/>
        <w:gridCol w:w="1329"/>
        <w:gridCol w:w="3862"/>
        <w:gridCol w:w="2374"/>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345"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16</w:t>
            </w:r>
          </w:p>
        </w:tc>
        <w:tc>
          <w:tcPr>
            <w:tcW w:w="748" w:type="pct"/>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42" w:leftChars="-20" w:right="-42" w:rightChars="-20"/>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工商管理学院</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both"/>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工商管理学院高质量就业调研报告——以2023 届毕业生为例</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ascii="方正仿宋_GB2312" w:hAnsi="方正仿宋_GB2312" w:eastAsia="方正仿宋_GB2312" w:cs="方正仿宋_GB2312"/>
                <w:b w:val="0"/>
                <w:i w:val="0"/>
                <w:strike w:val="0"/>
                <w:color w:val="auto"/>
                <w:spacing w:val="0"/>
                <w:sz w:val="20"/>
                <w:szCs w:val="20"/>
                <w:u w:val="none"/>
              </w:rPr>
              <w:t>冷凯君、车纯贤、刘帷、叶敏、陈金波、钱玲、祝天振、颜宸、喻亚琴、蒋玥、杨莎、贺锴欣、杨帆</w:t>
            </w:r>
          </w:p>
        </w:tc>
        <w:tc>
          <w:tcPr>
            <w:tcW w:w="392" w:type="pct"/>
            <w:vMerge w:val="restar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r>
              <w:rPr>
                <w:rFonts w:hint="eastAsia" w:ascii="方正仿宋_GB2312" w:hAnsi="方正仿宋_GB2312" w:eastAsia="方正仿宋_GB2312" w:cs="方正仿宋_GB2312"/>
                <w:b/>
                <w:bCs/>
                <w:i w:val="0"/>
                <w:iCs w:val="0"/>
                <w:color w:val="auto"/>
                <w:sz w:val="20"/>
                <w:szCs w:val="20"/>
                <w:u w:val="none"/>
                <w:lang w:val="en-US" w:eastAsia="zh-CN"/>
              </w:rPr>
              <w:t>三</w:t>
            </w: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bCs/>
                <w:i w:val="0"/>
                <w:iCs w:val="0"/>
                <w:color w:val="auto"/>
                <w:sz w:val="20"/>
                <w:szCs w:val="20"/>
                <w:u w:val="none"/>
                <w:lang w:val="en-US" w:eastAsia="zh-CN"/>
              </w:rPr>
            </w:pPr>
            <w:r>
              <w:rPr>
                <w:rFonts w:hint="eastAsia" w:ascii="方正仿宋_GB2312" w:hAnsi="方正仿宋_GB2312" w:eastAsia="方正仿宋_GB2312" w:cs="方正仿宋_GB2312"/>
                <w:b/>
                <w:bCs/>
                <w:i w:val="0"/>
                <w:iCs w:val="0"/>
                <w:color w:val="auto"/>
                <w:sz w:val="20"/>
                <w:szCs w:val="20"/>
                <w:u w:val="none"/>
                <w:lang w:val="en-US" w:eastAsia="zh-CN"/>
              </w:rPr>
              <w:t>等</w:t>
            </w:r>
          </w:p>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lang w:val="en-US" w:eastAsia="zh-CN"/>
              </w:rPr>
            </w:pPr>
            <w:r>
              <w:rPr>
                <w:rFonts w:hint="eastAsia" w:ascii="方正仿宋_GB2312" w:hAnsi="方正仿宋_GB2312" w:eastAsia="方正仿宋_GB2312" w:cs="方正仿宋_GB2312"/>
                <w:b/>
                <w:bCs/>
                <w:i w:val="0"/>
                <w:iCs w:val="0"/>
                <w:color w:val="auto"/>
                <w:sz w:val="20"/>
                <w:szCs w:val="20"/>
                <w:u w:val="none"/>
                <w:lang w:val="en-US" w:eastAsia="zh-CN"/>
              </w:rPr>
              <w:t>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25" w:hRule="atLeast"/>
          <w:jc w:val="center"/>
        </w:trPr>
        <w:tc>
          <w:tcPr>
            <w:tcW w:w="345"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17</w:t>
            </w:r>
          </w:p>
        </w:tc>
        <w:tc>
          <w:tcPr>
            <w:tcW w:w="748" w:type="pct"/>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42" w:leftChars="-20" w:right="-42" w:rightChars="-20"/>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马克思主义</w:t>
            </w:r>
          </w:p>
          <w:p>
            <w:pPr>
              <w:keepNext w:val="0"/>
              <w:keepLines w:val="0"/>
              <w:pageBreakBefore w:val="0"/>
              <w:widowControl/>
              <w:suppressLineNumbers w:val="0"/>
              <w:kinsoku/>
              <w:wordWrap/>
              <w:overflowPunct/>
              <w:topLinePunct w:val="0"/>
              <w:autoSpaceDE/>
              <w:autoSpaceDN/>
              <w:bidi w:val="0"/>
              <w:adjustRightInd/>
              <w:snapToGrid w:val="0"/>
              <w:spacing w:line="240" w:lineRule="exact"/>
              <w:ind w:left="-42" w:leftChars="-20" w:right="-42" w:rightChars="-20"/>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学院</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left"/>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 xml:space="preserve">马学科高质量论文创作的调查与思考 </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尹青山、赵继伟、王海涛、谭绍江</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99" w:hRule="atLeast"/>
          <w:jc w:val="center"/>
        </w:trPr>
        <w:tc>
          <w:tcPr>
            <w:tcW w:w="345"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18</w:t>
            </w:r>
          </w:p>
        </w:tc>
        <w:tc>
          <w:tcPr>
            <w:tcW w:w="748" w:type="pct"/>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42" w:leftChars="-20" w:right="-42" w:rightChars="-20"/>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新闻与传播</w:t>
            </w:r>
          </w:p>
          <w:p>
            <w:pPr>
              <w:keepNext w:val="0"/>
              <w:keepLines w:val="0"/>
              <w:pageBreakBefore w:val="0"/>
              <w:widowControl/>
              <w:suppressLineNumbers w:val="0"/>
              <w:kinsoku/>
              <w:wordWrap/>
              <w:overflowPunct/>
              <w:topLinePunct w:val="0"/>
              <w:autoSpaceDE/>
              <w:autoSpaceDN/>
              <w:bidi w:val="0"/>
              <w:adjustRightInd/>
              <w:snapToGrid w:val="0"/>
              <w:spacing w:line="240" w:lineRule="exact"/>
              <w:ind w:left="-42" w:leftChars="-20" w:right="-42" w:rightChars="-20"/>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学院</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left"/>
              <w:textAlignment w:val="auto"/>
              <w:outlineLvl w:val="9"/>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rPr>
              <w:t>新文科背景下我院新闻传播学专硕建设的调研报告</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陈建华、周志荣、李靓、陈奕、孙彦波</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345"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19</w:t>
            </w:r>
          </w:p>
        </w:tc>
        <w:tc>
          <w:tcPr>
            <w:tcW w:w="74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网络与教育</w:t>
            </w:r>
          </w:p>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技术中心</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both"/>
              <w:textAlignment w:val="auto"/>
              <w:outlineLvl w:val="0"/>
              <w:rPr>
                <w:rFonts w:hint="eastAsia" w:ascii="方正仿宋_GB2312" w:hAnsi="方正仿宋_GB2312" w:eastAsia="方正仿宋_GB2312" w:cs="方正仿宋_GB2312"/>
                <w:b w:val="0"/>
                <w:bCs w:val="0"/>
                <w:color w:val="auto"/>
                <w:sz w:val="20"/>
                <w:szCs w:val="20"/>
                <w:lang w:eastAsia="zh-CN"/>
              </w:rPr>
            </w:pPr>
            <w:r>
              <w:rPr>
                <w:rFonts w:hint="eastAsia" w:ascii="方正仿宋_GB2312" w:hAnsi="方正仿宋_GB2312" w:eastAsia="方正仿宋_GB2312" w:cs="方正仿宋_GB2312"/>
                <w:b w:val="0"/>
                <w:bCs w:val="0"/>
                <w:color w:val="auto"/>
                <w:sz w:val="20"/>
                <w:szCs w:val="20"/>
                <w:lang w:val="en-US" w:eastAsia="zh-CN"/>
              </w:rPr>
              <w:t>数字化赋能学校治理现代化的问题与应对措施</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朱晓波、张波、王文剑、陈锋敏、叶嵘、李浩、姚圣军、黄小丽、曾亮</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345"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20</w:t>
            </w:r>
          </w:p>
        </w:tc>
        <w:tc>
          <w:tcPr>
            <w:tcW w:w="74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财经高等</w:t>
            </w:r>
          </w:p>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研究院</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“高质量研究和服务地方齐头并进”</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——财经高等研究院科研平台建设发展调研报告</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徐慧玲、潘娜、齐航、李浩、田野、甘臣林、李翘楚、梅添淇、杨莹莹</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345"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21</w:t>
            </w:r>
          </w:p>
        </w:tc>
        <w:tc>
          <w:tcPr>
            <w:tcW w:w="74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湖北亿优物业管理有限责任公司</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both"/>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湖北亿优物业管理有限责任公司关于新形势下银校培训合作模式转型及升级调研的报告</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杨涛、李鹏、刘成云、胡冰、高利霞、高玮、黎德琴、张锦</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345"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22</w:t>
            </w:r>
          </w:p>
        </w:tc>
        <w:tc>
          <w:tcPr>
            <w:tcW w:w="74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体育经济与</w:t>
            </w:r>
          </w:p>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管理学院</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影响制约休闲体育国家级一流本科专业人才培养质量特色提升问题调研报告</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高鹏、孙辉、李燕燕、张诚、董诚</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345"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23</w:t>
            </w:r>
          </w:p>
        </w:tc>
        <w:tc>
          <w:tcPr>
            <w:tcW w:w="74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党委宣传部</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both"/>
              <w:textAlignment w:val="auto"/>
              <w:outlineLvl w:val="0"/>
              <w:rPr>
                <w:rFonts w:hint="eastAsia" w:ascii="方正仿宋_GB2312" w:hAnsi="方正仿宋_GB2312" w:eastAsia="方正仿宋_GB2312" w:cs="方正仿宋_GB2312"/>
                <w:b w:val="0"/>
                <w:bCs w:val="0"/>
                <w:color w:val="auto"/>
                <w:sz w:val="20"/>
                <w:szCs w:val="20"/>
                <w:lang w:eastAsia="zh-CN"/>
              </w:rPr>
            </w:pPr>
            <w:r>
              <w:rPr>
                <w:rFonts w:hint="eastAsia" w:ascii="方正仿宋_GB2312" w:hAnsi="方正仿宋_GB2312" w:eastAsia="方正仿宋_GB2312" w:cs="方正仿宋_GB2312"/>
                <w:b w:val="0"/>
                <w:bCs w:val="0"/>
                <w:color w:val="auto"/>
                <w:sz w:val="20"/>
                <w:szCs w:val="20"/>
                <w:lang w:val="en-US" w:eastAsia="zh-CN"/>
              </w:rPr>
              <w:t>推进媒体融合发展调研报告</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叶晓东、张艳伟、何建生、陶慧、徐康</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23" w:hRule="atLeast"/>
          <w:jc w:val="center"/>
        </w:trPr>
        <w:tc>
          <w:tcPr>
            <w:tcW w:w="345"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24</w:t>
            </w:r>
          </w:p>
        </w:tc>
        <w:tc>
          <w:tcPr>
            <w:tcW w:w="74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校工会</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both"/>
              <w:textAlignment w:val="auto"/>
              <w:outlineLvl w:val="0"/>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湖北经济学院青年单身职工现状调研及对策</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俞红、张红艳</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345"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25</w:t>
            </w:r>
          </w:p>
        </w:tc>
        <w:tc>
          <w:tcPr>
            <w:tcW w:w="74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后勤集团</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both"/>
              <w:textAlignment w:val="auto"/>
              <w:outlineLvl w:val="0"/>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加强饮食监管，提升服务品质</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ascii="方正仿宋_GB2312" w:hAnsi="方正仿宋_GB2312" w:eastAsia="方正仿宋_GB2312" w:cs="方正仿宋_GB2312"/>
                <w:b w:val="0"/>
                <w:i w:val="0"/>
                <w:strike w:val="0"/>
                <w:color w:val="auto"/>
                <w:spacing w:val="0"/>
                <w:sz w:val="20"/>
                <w:szCs w:val="20"/>
                <w:u w:val="none"/>
              </w:rPr>
              <w:t>杨守平、严俊华、赵小华、李晶、曹勇、刘周、柳家鹏、姚波、王亮、熊俊龙</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345"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26</w:t>
            </w:r>
          </w:p>
        </w:tc>
        <w:tc>
          <w:tcPr>
            <w:tcW w:w="74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法商学院</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both"/>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法商学院优质生源基地拓建的探索调研报告</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牛睿军、陈炜令、汪韵、张雄涛、肖博</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345"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27</w:t>
            </w:r>
          </w:p>
        </w:tc>
        <w:tc>
          <w:tcPr>
            <w:tcW w:w="74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继续教育学院</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both"/>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新时代继续教育事业高质量发展实践探索与开拓路径</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张治武、汪奇志、骆杰、王丹凤、丁方</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345"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28</w:t>
            </w:r>
          </w:p>
        </w:tc>
        <w:tc>
          <w:tcPr>
            <w:tcW w:w="74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信息工程学院</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left"/>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依托样板党支部建设，发挥学生先进示范作用</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李刚、陈珊珊、梅晟尧、鲁琪、陈俐全、陈光玉、李心怡</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345"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pPr>
            <w:r>
              <w:rPr>
                <w:rFonts w:hint="eastAsia" w:ascii="方正仿宋_GB2312" w:hAnsi="方正仿宋_GB2312" w:eastAsia="方正仿宋_GB2312" w:cs="方正仿宋_GB2312"/>
                <w:b w:val="0"/>
                <w:bCs w:val="0"/>
                <w:i w:val="0"/>
                <w:iCs w:val="0"/>
                <w:color w:val="auto"/>
                <w:kern w:val="0"/>
                <w:sz w:val="20"/>
                <w:szCs w:val="20"/>
                <w:u w:val="none"/>
                <w:lang w:val="en-US" w:eastAsia="zh-CN" w:bidi="ar"/>
              </w:rPr>
              <w:t>29</w:t>
            </w:r>
          </w:p>
        </w:tc>
        <w:tc>
          <w:tcPr>
            <w:tcW w:w="74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信息工程学院</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left"/>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基于学科交叉融合的新工科优势特色学科建设</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田浩、李红艳、吕植成、宋莺、关培超、胡建民、邸忆</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31" w:hRule="atLeast"/>
          <w:jc w:val="center"/>
        </w:trPr>
        <w:tc>
          <w:tcPr>
            <w:tcW w:w="345"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sz w:val="20"/>
                <w:szCs w:val="20"/>
                <w:u w:val="none"/>
                <w:lang w:val="en-US" w:eastAsia="zh-CN"/>
              </w:rPr>
            </w:pPr>
            <w:r>
              <w:rPr>
                <w:rFonts w:hint="eastAsia" w:ascii="方正仿宋_GB2312" w:hAnsi="方正仿宋_GB2312" w:eastAsia="方正仿宋_GB2312" w:cs="方正仿宋_GB2312"/>
                <w:b w:val="0"/>
                <w:bCs w:val="0"/>
                <w:i w:val="0"/>
                <w:iCs w:val="0"/>
                <w:color w:val="auto"/>
                <w:sz w:val="20"/>
                <w:szCs w:val="20"/>
                <w:u w:val="none"/>
                <w:lang w:val="en-US" w:eastAsia="zh-CN"/>
              </w:rPr>
              <w:t>30</w:t>
            </w:r>
          </w:p>
        </w:tc>
        <w:tc>
          <w:tcPr>
            <w:tcW w:w="74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财政与公共管理学院</w:t>
            </w:r>
          </w:p>
        </w:tc>
        <w:tc>
          <w:tcPr>
            <w:tcW w:w="2176" w:type="pct"/>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240" w:lineRule="exact"/>
              <w:jc w:val="both"/>
              <w:textAlignment w:val="auto"/>
              <w:outlineLvl w:val="0"/>
              <w:rPr>
                <w:rFonts w:hint="eastAsia" w:ascii="方正仿宋_GB2312" w:hAnsi="方正仿宋_GB2312" w:eastAsia="方正仿宋_GB2312" w:cs="方正仿宋_GB2312"/>
                <w:b w:val="0"/>
                <w:bCs w:val="0"/>
                <w:i w:val="0"/>
                <w:iCs w:val="0"/>
                <w:color w:val="auto"/>
                <w:sz w:val="20"/>
                <w:szCs w:val="20"/>
                <w:u w:val="none"/>
              </w:rPr>
            </w:pPr>
            <w:r>
              <w:rPr>
                <w:rFonts w:hint="eastAsia" w:ascii="方正仿宋_GB2312" w:hAnsi="方正仿宋_GB2312" w:eastAsia="方正仿宋_GB2312" w:cs="方正仿宋_GB2312"/>
                <w:b w:val="0"/>
                <w:bCs w:val="0"/>
                <w:color w:val="auto"/>
                <w:sz w:val="20"/>
                <w:szCs w:val="20"/>
              </w:rPr>
              <w:t>班主任、辅导员、导师制一体化人才培养模式</w:t>
            </w:r>
          </w:p>
        </w:tc>
        <w:tc>
          <w:tcPr>
            <w:tcW w:w="1337" w:type="pct"/>
            <w:shd w:val="clear" w:color="auto" w:fill="FFFFFF" w:themeFill="background1"/>
            <w:noWrap/>
            <w:vAlign w:val="center"/>
          </w:tcPr>
          <w:p>
            <w:pPr>
              <w:keepNext w:val="0"/>
              <w:keepLines w:val="0"/>
              <w:pageBreakBefore w:val="0"/>
              <w:widowControl/>
              <w:pBdr>
                <w:bottom w:val="none" w:color="auto" w:sz="0" w:space="0"/>
              </w:pBdr>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蔡红英、吴雄、任立、袁文艺、张滋越</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10" w:hRule="atLeast"/>
          <w:jc w:val="center"/>
        </w:trPr>
        <w:tc>
          <w:tcPr>
            <w:tcW w:w="345"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sz w:val="20"/>
                <w:szCs w:val="20"/>
                <w:u w:val="none"/>
                <w:lang w:val="en-US" w:eastAsia="zh-CN"/>
              </w:rPr>
            </w:pPr>
            <w:r>
              <w:rPr>
                <w:rFonts w:hint="eastAsia" w:ascii="方正仿宋_GB2312" w:hAnsi="方正仿宋_GB2312" w:eastAsia="方正仿宋_GB2312" w:cs="方正仿宋_GB2312"/>
                <w:b w:val="0"/>
                <w:bCs w:val="0"/>
                <w:i w:val="0"/>
                <w:iCs w:val="0"/>
                <w:color w:val="auto"/>
                <w:sz w:val="20"/>
                <w:szCs w:val="20"/>
                <w:u w:val="none"/>
                <w:lang w:val="en-US" w:eastAsia="zh-CN"/>
              </w:rPr>
              <w:t>31</w:t>
            </w:r>
          </w:p>
        </w:tc>
        <w:tc>
          <w:tcPr>
            <w:tcW w:w="74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统计与数学学院</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left"/>
              <w:textAlignment w:val="auto"/>
              <w:outlineLvl w:val="0"/>
              <w:rPr>
                <w:rFonts w:hint="eastAsia" w:ascii="方正仿宋_GB2312" w:hAnsi="方正仿宋_GB2312" w:eastAsia="方正仿宋_GB2312" w:cs="方正仿宋_GB2312"/>
                <w:b w:val="0"/>
                <w:bCs w:val="0"/>
                <w:i w:val="0"/>
                <w:iCs w:val="0"/>
                <w:color w:val="auto"/>
                <w:sz w:val="20"/>
                <w:szCs w:val="20"/>
                <w:u w:val="none"/>
              </w:rPr>
            </w:pPr>
            <w:r>
              <w:rPr>
                <w:rFonts w:hint="eastAsia" w:ascii="方正仿宋_GB2312" w:hAnsi="方正仿宋_GB2312" w:eastAsia="方正仿宋_GB2312" w:cs="方正仿宋_GB2312"/>
                <w:b w:val="0"/>
                <w:bCs w:val="0"/>
                <w:color w:val="auto"/>
                <w:sz w:val="20"/>
                <w:szCs w:val="20"/>
                <w:lang w:val="en-US" w:eastAsia="zh-CN"/>
              </w:rPr>
              <w:t>需求导向的理工科毕业生就业市场现状与对策调研报告</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王华、钟立伟、雷俊丽、王玉宝、夏伦、王东红</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345" w:type="pct"/>
            <w:shd w:val="clear" w:color="auto" w:fill="FFFFFF" w:themeFill="background1"/>
            <w:noWrap/>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hint="eastAsia" w:ascii="方正仿宋_GB2312" w:hAnsi="方正仿宋_GB2312" w:eastAsia="方正仿宋_GB2312" w:cs="方正仿宋_GB2312"/>
                <w:b w:val="0"/>
                <w:bCs w:val="0"/>
                <w:i w:val="0"/>
                <w:iCs w:val="0"/>
                <w:color w:val="auto"/>
                <w:sz w:val="20"/>
                <w:szCs w:val="20"/>
                <w:u w:val="none"/>
                <w:lang w:val="en-US" w:eastAsia="zh-CN"/>
              </w:rPr>
            </w:pPr>
            <w:r>
              <w:rPr>
                <w:rFonts w:hint="eastAsia" w:ascii="方正仿宋_GB2312" w:hAnsi="方正仿宋_GB2312" w:eastAsia="方正仿宋_GB2312" w:cs="方正仿宋_GB2312"/>
                <w:b w:val="0"/>
                <w:bCs w:val="0"/>
                <w:i w:val="0"/>
                <w:iCs w:val="0"/>
                <w:color w:val="auto"/>
                <w:sz w:val="20"/>
                <w:szCs w:val="20"/>
                <w:u w:val="none"/>
                <w:lang w:val="en-US" w:eastAsia="zh-CN"/>
              </w:rPr>
              <w:t>32</w:t>
            </w:r>
          </w:p>
        </w:tc>
        <w:tc>
          <w:tcPr>
            <w:tcW w:w="74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sz w:val="20"/>
                <w:szCs w:val="20"/>
                <w:lang w:val="en-US" w:eastAsia="zh-CN"/>
              </w:rPr>
            </w:pPr>
            <w:r>
              <w:rPr>
                <w:rFonts w:hint="eastAsia" w:ascii="方正仿宋_GB2312" w:hAnsi="方正仿宋_GB2312" w:eastAsia="方正仿宋_GB2312" w:cs="方正仿宋_GB2312"/>
                <w:b w:val="0"/>
                <w:bCs w:val="0"/>
                <w:color w:val="auto"/>
                <w:sz w:val="20"/>
                <w:szCs w:val="20"/>
                <w:lang w:val="en-US" w:eastAsia="zh-CN"/>
              </w:rPr>
              <w:t>外国语学院</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left"/>
              <w:textAlignment w:val="auto"/>
              <w:outlineLvl w:val="9"/>
              <w:rPr>
                <w:rFonts w:hint="eastAsia" w:ascii="方正仿宋_GB2312" w:hAnsi="方正仿宋_GB2312" w:eastAsia="方正仿宋_GB2312" w:cs="方正仿宋_GB2312"/>
                <w:b w:val="0"/>
                <w:bCs w:val="0"/>
                <w:i w:val="0"/>
                <w:iCs w:val="0"/>
                <w:color w:val="auto"/>
                <w:sz w:val="20"/>
                <w:szCs w:val="20"/>
                <w:u w:val="none"/>
              </w:rPr>
            </w:pPr>
            <w:r>
              <w:rPr>
                <w:rFonts w:hint="eastAsia" w:ascii="方正仿宋_GB2312" w:hAnsi="方正仿宋_GB2312" w:eastAsia="方正仿宋_GB2312" w:cs="方正仿宋_GB2312"/>
                <w:b w:val="0"/>
                <w:bCs w:val="0"/>
                <w:color w:val="auto"/>
                <w:sz w:val="20"/>
                <w:szCs w:val="20"/>
              </w:rPr>
              <w:t>财经类高校英语专业人才培养特色调查报告</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吴长青、杨春燕、孙小军、周雷、陈红、刘京、郑昭梅、周俊博</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345" w:type="pct"/>
            <w:shd w:val="clear" w:color="auto" w:fill="FFFFFF" w:themeFill="background1"/>
            <w:noWrap/>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33</w:t>
            </w:r>
          </w:p>
        </w:tc>
        <w:tc>
          <w:tcPr>
            <w:tcW w:w="74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实验教学中心</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left"/>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答好新时代创新创业教育的湖经答卷——湖北经济学院创新创业教育</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谢文模、陈新武、毛志斌、靳洪、陈忠伟、安光倩、李坤婧、王旭丽</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5" w:type="pct"/>
            <w:shd w:val="clear" w:color="auto" w:fill="FFFFFF" w:themeFill="background1"/>
            <w:noWrap/>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34</w:t>
            </w:r>
          </w:p>
        </w:tc>
        <w:tc>
          <w:tcPr>
            <w:tcW w:w="74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研究生处</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left"/>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关于推进硕士学位立项建设点的调研——湖北经济学院“5+11”硕士学位立项建设点调研报告</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邓青、王立俊、左炜、张瀚月、谢杰</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345" w:type="pct"/>
            <w:shd w:val="clear" w:color="auto" w:fill="FFFFFF" w:themeFill="background1"/>
            <w:noWrap/>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35</w:t>
            </w:r>
          </w:p>
        </w:tc>
        <w:tc>
          <w:tcPr>
            <w:tcW w:w="748"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会计学院</w:t>
            </w:r>
          </w:p>
        </w:tc>
        <w:tc>
          <w:tcPr>
            <w:tcW w:w="2176" w:type="pct"/>
            <w:shd w:val="clear" w:color="auto" w:fill="FFFFFF" w:themeFill="background1"/>
            <w:vAlign w:val="center"/>
          </w:tcPr>
          <w:p>
            <w:pPr>
              <w:keepNext w:val="0"/>
              <w:keepLines w:val="0"/>
              <w:pageBreakBefore w:val="0"/>
              <w:widowControl w:val="0"/>
              <w:kinsoku/>
              <w:wordWrap/>
              <w:overflowPunct/>
              <w:topLinePunct w:val="0"/>
              <w:autoSpaceDE/>
              <w:autoSpaceDN/>
              <w:bidi w:val="0"/>
              <w:adjustRightInd/>
              <w:snapToGrid w:val="0"/>
              <w:spacing w:line="240" w:lineRule="exact"/>
              <w:jc w:val="left"/>
              <w:textAlignment w:val="auto"/>
              <w:outlineLvl w:val="0"/>
              <w:rPr>
                <w:rFonts w:hint="eastAsia" w:ascii="方正仿宋_GB2312" w:hAnsi="方正仿宋_GB2312" w:eastAsia="方正仿宋_GB2312" w:cs="方正仿宋_GB2312"/>
                <w:b w:val="0"/>
                <w:bCs w:val="0"/>
                <w:color w:val="auto"/>
                <w:kern w:val="2"/>
                <w:sz w:val="20"/>
                <w:szCs w:val="20"/>
                <w:lang w:val="en-US" w:eastAsia="zh-CN" w:bidi="ar-SA"/>
              </w:rPr>
            </w:pPr>
            <w:r>
              <w:rPr>
                <w:rFonts w:hint="eastAsia" w:ascii="方正仿宋_GB2312" w:hAnsi="方正仿宋_GB2312" w:eastAsia="方正仿宋_GB2312" w:cs="方正仿宋_GB2312"/>
                <w:b w:val="0"/>
                <w:bCs w:val="0"/>
                <w:color w:val="auto"/>
                <w:sz w:val="20"/>
                <w:szCs w:val="20"/>
                <w:lang w:val="en-US" w:eastAsia="zh-CN"/>
              </w:rPr>
              <w:t>提升会计专业与数字化融合的调研报告</w:t>
            </w:r>
          </w:p>
        </w:tc>
        <w:tc>
          <w:tcPr>
            <w:tcW w:w="1337" w:type="pct"/>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left"/>
              <w:rPr>
                <w:rFonts w:hint="eastAsia" w:ascii="方正仿宋_GB2312" w:hAnsi="方正仿宋_GB2312" w:eastAsia="方正仿宋_GB2312" w:cs="方正仿宋_GB2312"/>
                <w:b w:val="0"/>
                <w:bCs w:val="0"/>
                <w:i w:val="0"/>
                <w:iCs w:val="0"/>
                <w:color w:val="auto"/>
                <w:kern w:val="2"/>
                <w:sz w:val="20"/>
                <w:szCs w:val="20"/>
                <w:u w:val="none"/>
                <w:lang w:val="en-US" w:eastAsia="zh-CN" w:bidi="ar-SA"/>
              </w:rPr>
            </w:pPr>
            <w:r>
              <w:rPr>
                <w:rFonts w:hint="eastAsia" w:ascii="方正仿宋_GB2312" w:hAnsi="方正仿宋_GB2312" w:eastAsia="方正仿宋_GB2312" w:cs="方正仿宋_GB2312"/>
                <w:b w:val="0"/>
                <w:bCs w:val="0"/>
                <w:i w:val="0"/>
                <w:iCs w:val="0"/>
                <w:color w:val="auto"/>
                <w:sz w:val="20"/>
                <w:szCs w:val="20"/>
                <w:u w:val="none"/>
                <w:lang w:val="en-US" w:eastAsia="zh-CN"/>
              </w:rPr>
              <w:t>曾义、胡伟、余浪、胡海华、林勇军、李海洋、杨琬君</w:t>
            </w:r>
          </w:p>
        </w:tc>
        <w:tc>
          <w:tcPr>
            <w:tcW w:w="392" w:type="pct"/>
            <w:vMerge w:val="continue"/>
            <w:shd w:val="clear" w:color="auto" w:fill="FFFFFF" w:themeFill="background1"/>
            <w:noWrap/>
            <w:vAlign w:val="center"/>
          </w:tcPr>
          <w:p>
            <w:pPr>
              <w:keepNext w:val="0"/>
              <w:keepLines w:val="0"/>
              <w:pageBreakBefore w:val="0"/>
              <w:widowControl/>
              <w:kinsoku/>
              <w:wordWrap/>
              <w:overflowPunct/>
              <w:topLinePunct w:val="0"/>
              <w:autoSpaceDE/>
              <w:autoSpaceDN/>
              <w:bidi w:val="0"/>
              <w:adjustRightInd/>
              <w:snapToGrid w:val="0"/>
              <w:spacing w:line="240" w:lineRule="exact"/>
              <w:jc w:val="center"/>
              <w:rPr>
                <w:rFonts w:hint="eastAsia" w:ascii="方正仿宋_GB2312" w:hAnsi="方正仿宋_GB2312" w:eastAsia="方正仿宋_GB2312" w:cs="方正仿宋_GB2312"/>
                <w:b w:val="0"/>
                <w:bCs w:val="0"/>
                <w:i w:val="0"/>
                <w:iCs w:val="0"/>
                <w:color w:val="auto"/>
                <w:sz w:val="20"/>
                <w:szCs w:val="20"/>
                <w:u w:val="none"/>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23754E7-30ED-43C7-9B7F-9F8B560A30CB}"/>
  </w:font>
  <w:font w:name="方正小标宋简体">
    <w:panose1 w:val="02000000000000000000"/>
    <w:charset w:val="86"/>
    <w:family w:val="auto"/>
    <w:pitch w:val="default"/>
    <w:sig w:usb0="00000001" w:usb1="080E0000" w:usb2="00000000" w:usb3="00000000" w:csb0="00040000" w:csb1="00000000"/>
    <w:embedRegular r:id="rId2" w:fontKey="{882859A7-5E7B-42A6-9BA2-FE9B17DA92C9}"/>
  </w:font>
  <w:font w:name="方正仿宋_GB2312">
    <w:panose1 w:val="02000000000000000000"/>
    <w:charset w:val="86"/>
    <w:family w:val="auto"/>
    <w:pitch w:val="default"/>
    <w:sig w:usb0="A00002BF" w:usb1="184F6CFA" w:usb2="00000012" w:usb3="00000000" w:csb0="00040001" w:csb1="00000000"/>
    <w:embedRegular r:id="rId3" w:fontKey="{7A3F9B0B-A5CE-42D9-95D7-175682CDDDD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1NGU4Y2MyYzIxNTEzMjU0MzA0ZWQzZDc1NTg3NDMifQ=="/>
  </w:docVars>
  <w:rsids>
    <w:rsidRoot w:val="3725645F"/>
    <w:rsid w:val="08FA1588"/>
    <w:rsid w:val="0DFC442D"/>
    <w:rsid w:val="18E35F98"/>
    <w:rsid w:val="3725645F"/>
    <w:rsid w:val="3C0D06AF"/>
    <w:rsid w:val="4FB50A29"/>
    <w:rsid w:val="7A6C0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1908</Words>
  <Characters>1940</Characters>
  <Lines>0</Lines>
  <Paragraphs>0</Paragraphs>
  <TotalTime>13</TotalTime>
  <ScaleCrop>false</ScaleCrop>
  <LinksUpToDate>false</LinksUpToDate>
  <CharactersWithSpaces>1945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2023-07-18T06:50:00Z</dcterms:created>
  <dc:creator>李兵</dc:creator>
  <cp:lastModifiedBy>李兵</cp:lastModifiedBy>
  <dcterms:modified xsi:type="dcterms:W3CDTF">2023-07-21T01:54:19Z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46000778CED34C85A3C963352698A480_11</vt:lpwstr>
  </property>
</Properties>
</file>