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0"/>
          <w:szCs w:val="30"/>
          <w:lang w:val="en-US" w:eastAsia="zh-CN"/>
        </w:rPr>
      </w:pPr>
      <w:bookmarkStart w:id="0" w:name="OLE_LINK1"/>
      <w:r>
        <w:rPr>
          <w:rFonts w:hint="eastAsia" w:ascii="微软雅黑" w:hAnsi="微软雅黑" w:eastAsia="微软雅黑" w:cs="微软雅黑"/>
          <w:b/>
          <w:bCs/>
          <w:sz w:val="30"/>
          <w:szCs w:val="30"/>
          <w:lang w:val="en-US" w:eastAsia="zh-CN"/>
        </w:rPr>
        <w:t>2021年加州大学</w:t>
      </w:r>
      <w:bookmarkEnd w:id="0"/>
      <w:r>
        <w:rPr>
          <w:rFonts w:hint="eastAsia" w:ascii="微软雅黑" w:hAnsi="微软雅黑" w:eastAsia="微软雅黑" w:cs="微软雅黑"/>
          <w:b/>
          <w:bCs/>
          <w:sz w:val="30"/>
          <w:szCs w:val="30"/>
          <w:lang w:val="en-US" w:eastAsia="zh-CN"/>
        </w:rPr>
        <w:t>圣塔芭芭拉分校</w:t>
      </w:r>
      <w:bookmarkStart w:id="1" w:name="OLE_LINK2"/>
    </w:p>
    <w:p>
      <w:pPr>
        <w:jc w:val="center"/>
        <w:rPr>
          <w:rFonts w:hint="eastAsia" w:ascii="微软雅黑" w:hAnsi="微软雅黑" w:eastAsia="微软雅黑" w:cs="微软雅黑"/>
          <w:b/>
          <w:bCs/>
          <w:sz w:val="30"/>
          <w:szCs w:val="30"/>
          <w:lang w:val="en-US" w:eastAsia="zh-CN"/>
        </w:rPr>
      </w:pPr>
      <w:r>
        <w:rPr>
          <w:rFonts w:hint="eastAsia" w:ascii="微软雅黑" w:hAnsi="微软雅黑" w:eastAsia="微软雅黑" w:cs="微软雅黑"/>
          <w:b/>
          <w:bCs/>
          <w:sz w:val="30"/>
          <w:szCs w:val="30"/>
          <w:lang w:val="en-US" w:eastAsia="zh-CN"/>
        </w:rPr>
        <w:t>数字营销</w:t>
      </w:r>
      <w:bookmarkEnd w:id="1"/>
      <w:r>
        <w:rPr>
          <w:rFonts w:hint="eastAsia" w:ascii="微软雅黑" w:hAnsi="微软雅黑" w:eastAsia="微软雅黑" w:cs="微软雅黑"/>
          <w:b/>
          <w:bCs/>
          <w:color w:val="auto"/>
          <w:sz w:val="30"/>
          <w:szCs w:val="30"/>
          <w:lang w:val="en-US" w:eastAsia="zh-CN"/>
        </w:rPr>
        <w:t>学期交流</w:t>
      </w:r>
      <w:r>
        <w:rPr>
          <w:rFonts w:hint="eastAsia" w:ascii="微软雅黑" w:hAnsi="微软雅黑" w:eastAsia="微软雅黑" w:cs="微软雅黑"/>
          <w:b/>
          <w:bCs/>
          <w:sz w:val="30"/>
          <w:szCs w:val="30"/>
          <w:lang w:val="en-US" w:eastAsia="zh-CN"/>
        </w:rPr>
        <w:t>项目</w:t>
      </w:r>
    </w:p>
    <w:p>
      <w:pPr>
        <w:rPr>
          <w:rFonts w:hint="eastAsia" w:ascii="微软雅黑" w:hAnsi="微软雅黑" w:eastAsia="微软雅黑" w:cs="微软雅黑"/>
          <w:b w:val="0"/>
          <w:bCs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exact"/>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一、项目介绍</w:t>
      </w:r>
    </w:p>
    <w:p>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sz w:val="24"/>
          <w:szCs w:val="24"/>
          <w:lang w:eastAsia="zh-CN"/>
        </w:rPr>
        <w:drawing>
          <wp:inline distT="0" distB="0" distL="114300" distR="114300">
            <wp:extent cx="5391150" cy="2258060"/>
            <wp:effectExtent l="0" t="0" r="0" b="8890"/>
            <wp:docPr id="4" name="图片 4" descr="UCSB PIC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CSB PIC A"/>
                    <pic:cNvPicPr>
                      <a:picLocks noChangeAspect="1"/>
                    </pic:cNvPicPr>
                  </pic:nvPicPr>
                  <pic:blipFill>
                    <a:blip r:embed="rId4"/>
                    <a:stretch>
                      <a:fillRect/>
                    </a:stretch>
                  </pic:blipFill>
                  <pic:spPr>
                    <a:xfrm>
                      <a:off x="0" y="0"/>
                      <a:ext cx="5391150" cy="225806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exact"/>
        <w:ind w:leftChars="0"/>
        <w:textAlignment w:val="auto"/>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bCs/>
          <w:sz w:val="24"/>
          <w:szCs w:val="24"/>
          <w:lang w:val="en-US" w:eastAsia="zh-CN"/>
        </w:rPr>
        <w:t>A. 项目简介</w:t>
      </w:r>
    </w:p>
    <w:p>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拥有公立常青藤之称加州大学圣塔芭芭拉分校每年都吸引着无数的世界优秀研究学者在这里进行深造和学术研究。加州大学圣塔芭芭拉分校数字营销项目是为期一个学期的固定课程项目。该项目为12个学分定制化课程，学生可通过修学项目学分，获得加州大学圣塔芭芭拉分校正式成绩单和证书。</w:t>
      </w:r>
    </w:p>
    <w:p>
      <w:pPr>
        <w:rPr>
          <w:rFonts w:hint="eastAsia" w:ascii="微软雅黑" w:hAnsi="微软雅黑" w:eastAsia="微软雅黑" w:cs="微软雅黑"/>
          <w:b w:val="0"/>
          <w:bCs w:val="0"/>
          <w:sz w:val="24"/>
          <w:szCs w:val="24"/>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360" w:lineRule="exact"/>
        <w:ind w:leftChars="0"/>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项目优势</w:t>
      </w:r>
    </w:p>
    <w:p>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drawing>
          <wp:inline distT="0" distB="0" distL="114300" distR="114300">
            <wp:extent cx="5536565" cy="2380615"/>
            <wp:effectExtent l="0" t="0" r="6985" b="635"/>
            <wp:docPr id="12" name="图片 12" descr="UCSB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UCSB 2"/>
                    <pic:cNvPicPr>
                      <a:picLocks noChangeAspect="1"/>
                    </pic:cNvPicPr>
                  </pic:nvPicPr>
                  <pic:blipFill>
                    <a:blip r:embed="rId5"/>
                    <a:stretch>
                      <a:fillRect/>
                    </a:stretch>
                  </pic:blipFill>
                  <pic:spPr>
                    <a:xfrm>
                      <a:off x="0" y="0"/>
                      <a:ext cx="5536565" cy="2380615"/>
                    </a:xfrm>
                    <a:prstGeom prst="rect">
                      <a:avLst/>
                    </a:prstGeom>
                  </pic:spPr>
                </pic:pic>
              </a:graphicData>
            </a:graphic>
          </wp:inline>
        </w:drawing>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b w:val="0"/>
          <w:bCs w:val="0"/>
          <w:sz w:val="24"/>
          <w:szCs w:val="24"/>
          <w:lang w:val="en-US" w:eastAsia="zh-CN"/>
        </w:rPr>
      </w:pPr>
      <w:r>
        <w:rPr>
          <w:rFonts w:hint="eastAsia" w:ascii="微软雅黑" w:hAnsi="微软雅黑" w:eastAsia="微软雅黑" w:cs="微软雅黑"/>
          <w:b/>
          <w:bCs/>
          <w:sz w:val="24"/>
          <w:szCs w:val="24"/>
          <w:lang w:val="en-US" w:eastAsia="zh-CN"/>
        </w:rPr>
        <w:t>顺应时代的热门项目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依赖于网络和电子的现代化生活推动了数字营销产业的蓬勃发展，也加大了对数字营销人才的需求。数字营销也成为目前市场</w:t>
      </w:r>
      <w:r>
        <w:rPr>
          <w:rFonts w:hint="eastAsia" w:ascii="微软雅黑" w:hAnsi="微软雅黑" w:eastAsia="微软雅黑" w:cs="微软雅黑"/>
          <w:b w:val="0"/>
          <w:bCs w:val="0"/>
          <w:color w:val="auto"/>
          <w:sz w:val="24"/>
          <w:szCs w:val="24"/>
          <w:lang w:val="en-US" w:eastAsia="zh-CN"/>
        </w:rPr>
        <w:t>上</w:t>
      </w:r>
      <w:r>
        <w:rPr>
          <w:rFonts w:hint="eastAsia" w:ascii="微软雅黑" w:hAnsi="微软雅黑" w:eastAsia="微软雅黑" w:cs="微软雅黑"/>
          <w:b w:val="0"/>
          <w:bCs w:val="0"/>
          <w:sz w:val="24"/>
          <w:szCs w:val="24"/>
          <w:lang w:val="en-US" w:eastAsia="zh-CN"/>
        </w:rPr>
        <w:t>最热门和最实用的学习项目。</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精选的实用核心课程</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b/>
          <w:bCs/>
          <w:sz w:val="24"/>
          <w:szCs w:val="24"/>
          <w:lang w:val="en-US" w:eastAsia="zh-CN"/>
        </w:rPr>
      </w:pPr>
      <w:r>
        <w:rPr>
          <w:rFonts w:hint="eastAsia" w:ascii="微软雅黑" w:hAnsi="微软雅黑" w:eastAsia="微软雅黑" w:cs="微软雅黑"/>
          <w:b w:val="0"/>
          <w:bCs w:val="0"/>
          <w:sz w:val="24"/>
          <w:szCs w:val="24"/>
          <w:lang w:val="en-US" w:eastAsia="zh-CN"/>
        </w:rPr>
        <w:t>项目精选炙手可热的实用课程，以目前市场亟需的营销策略为切入口展开，设置了最切合市场需求的课程内容和案例实训。具体课程见项目课程安排。</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软实力的浓墨重彩</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项目为学生软实力的商科背景增加了厚度和广度，不仅可以丰富学生该领域的理论知识，也赋予他们难能可贵的实践运用</w:t>
      </w:r>
      <w:r>
        <w:rPr>
          <w:rFonts w:hint="eastAsia" w:ascii="微软雅黑" w:hAnsi="微软雅黑" w:eastAsia="微软雅黑" w:cs="微软雅黑"/>
          <w:b w:val="0"/>
          <w:bCs w:val="0"/>
          <w:color w:val="auto"/>
          <w:sz w:val="24"/>
          <w:szCs w:val="24"/>
          <w:lang w:val="en-US" w:eastAsia="zh-CN"/>
        </w:rPr>
        <w:t>，</w:t>
      </w:r>
      <w:r>
        <w:rPr>
          <w:rFonts w:hint="eastAsia" w:ascii="微软雅黑" w:hAnsi="微软雅黑" w:eastAsia="微软雅黑" w:cs="微软雅黑"/>
          <w:b w:val="0"/>
          <w:bCs w:val="0"/>
          <w:sz w:val="24"/>
          <w:szCs w:val="24"/>
          <w:lang w:val="en-US" w:eastAsia="zh-CN"/>
        </w:rPr>
        <w:t>为学生的未来简历增添浓墨重彩的一笔。</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val="0"/>
          <w:bCs w:val="0"/>
          <w:sz w:val="24"/>
          <w:szCs w:val="24"/>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400" w:lineRule="exact"/>
        <w:ind w:left="0" w:leftChars="0" w:firstLine="0" w:firstLineChars="0"/>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项目课程</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项目为12个学分的固定组合课程，具体课程安排如下：</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8个学分的固定必修课（两门）+1门4学分的选修课</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必修课--2门：</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Developing a Digital Marketing Strategy  (4 units)</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default" w:ascii="微软雅黑" w:hAnsi="微软雅黑" w:eastAsia="微软雅黑" w:cs="微软雅黑"/>
          <w:sz w:val="24"/>
          <w:szCs w:val="24"/>
          <w:vertAlign w:val="baseline"/>
          <w:lang w:val="en-US" w:eastAsia="zh-CN"/>
        </w:rPr>
        <w:t>制定数字营销策略</w:t>
      </w:r>
      <w:r>
        <w:rPr>
          <w:rFonts w:hint="eastAsia" w:ascii="微软雅黑" w:hAnsi="微软雅黑" w:eastAsia="微软雅黑" w:cs="微软雅黑"/>
          <w:sz w:val="24"/>
          <w:szCs w:val="24"/>
          <w:vertAlign w:val="baseline"/>
          <w:lang w:val="en-US" w:eastAsia="zh-CN"/>
        </w:rPr>
        <w:t>（4学分）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default" w:ascii="微软雅黑" w:hAnsi="微软雅黑" w:eastAsia="微软雅黑" w:cs="微软雅黑"/>
          <w:sz w:val="24"/>
          <w:szCs w:val="24"/>
          <w:vertAlign w:val="baseline"/>
          <w:lang w:val="en-US" w:eastAsia="zh-CN"/>
        </w:rPr>
        <w:t>Brand Strategy Implementation</w:t>
      </w:r>
      <w:r>
        <w:rPr>
          <w:rFonts w:hint="eastAsia" w:ascii="微软雅黑" w:hAnsi="微软雅黑" w:eastAsia="微软雅黑" w:cs="微软雅黑"/>
          <w:sz w:val="24"/>
          <w:szCs w:val="24"/>
          <w:vertAlign w:val="baseline"/>
          <w:lang w:val="en-US" w:eastAsia="zh-CN"/>
        </w:rPr>
        <w:t xml:space="preserve">  (4 units)</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品牌战略实施 （4学分）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sz w:val="24"/>
          <w:szCs w:val="24"/>
          <w:vertAlign w:val="baseline"/>
          <w:lang w:val="en-US" w:eastAsia="zh-CN"/>
        </w:rPr>
      </w:pPr>
      <w:r>
        <w:rPr>
          <w:rFonts w:hint="default" w:ascii="微软雅黑" w:hAnsi="微软雅黑" w:eastAsia="微软雅黑" w:cs="微软雅黑"/>
          <w:sz w:val="24"/>
          <w:szCs w:val="24"/>
          <w:vertAlign w:val="baseline"/>
          <w:lang w:val="en-US" w:eastAsia="zh-CN"/>
        </w:rPr>
        <w:t>Web Analytics (Summer - ONLINE) - 2 units</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网页分析(暑期--网课)（2学分）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选修课--选1门：</w:t>
      </w:r>
      <w:r>
        <w:rPr>
          <w:rFonts w:hint="default" w:ascii="微软雅黑" w:hAnsi="微软雅黑" w:eastAsia="微软雅黑" w:cs="微软雅黑"/>
          <w:sz w:val="24"/>
          <w:szCs w:val="24"/>
          <w:vertAlign w:val="baseli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default" w:ascii="微软雅黑" w:hAnsi="微软雅黑" w:eastAsia="微软雅黑" w:cs="微软雅黑"/>
          <w:sz w:val="24"/>
          <w:szCs w:val="24"/>
          <w:vertAlign w:val="baseline"/>
          <w:lang w:val="en-US" w:eastAsia="zh-CN"/>
        </w:rPr>
        <w:t xml:space="preserve">Business and Personal Branding </w:t>
      </w:r>
      <w:r>
        <w:rPr>
          <w:rFonts w:hint="eastAsia" w:ascii="微软雅黑" w:hAnsi="微软雅黑" w:eastAsia="微软雅黑" w:cs="微软雅黑"/>
          <w:sz w:val="24"/>
          <w:szCs w:val="24"/>
          <w:vertAlign w:val="baseline"/>
          <w:lang w:val="en-US" w:eastAsia="zh-CN"/>
        </w:rPr>
        <w:t>(4 units)</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商业及个人品牌（4学分）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default" w:ascii="微软雅黑" w:hAnsi="微软雅黑" w:eastAsia="微软雅黑" w:cs="微软雅黑"/>
          <w:sz w:val="24"/>
          <w:szCs w:val="24"/>
          <w:vertAlign w:val="baseline"/>
          <w:lang w:val="en-US" w:eastAsia="zh-CN"/>
        </w:rPr>
        <w:t xml:space="preserve">International Marketing  </w:t>
      </w:r>
      <w:r>
        <w:rPr>
          <w:rFonts w:hint="eastAsia" w:ascii="微软雅黑" w:hAnsi="微软雅黑" w:eastAsia="微软雅黑" w:cs="微软雅黑"/>
          <w:sz w:val="24"/>
          <w:szCs w:val="24"/>
          <w:vertAlign w:val="baseline"/>
          <w:lang w:val="en-US" w:eastAsia="zh-CN"/>
        </w:rPr>
        <w:t>(4 units)</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国际市场营销（4学分）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default" w:ascii="微软雅黑" w:hAnsi="微软雅黑" w:eastAsia="微软雅黑" w:cs="微软雅黑"/>
          <w:sz w:val="24"/>
          <w:szCs w:val="24"/>
          <w:vertAlign w:val="baseline"/>
          <w:lang w:val="en-US" w:eastAsia="zh-CN"/>
        </w:rPr>
        <w:t xml:space="preserve">Public Relations and Advertising  </w:t>
      </w:r>
      <w:r>
        <w:rPr>
          <w:rFonts w:hint="eastAsia" w:ascii="微软雅黑" w:hAnsi="微软雅黑" w:eastAsia="微软雅黑" w:cs="微软雅黑"/>
          <w:sz w:val="24"/>
          <w:szCs w:val="24"/>
          <w:vertAlign w:val="baseline"/>
          <w:lang w:val="en-US" w:eastAsia="zh-CN"/>
        </w:rPr>
        <w:t>(4 units)</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sz w:val="24"/>
          <w:szCs w:val="24"/>
          <w:vertAlign w:val="baseline"/>
          <w:lang w:val="en-US" w:eastAsia="zh-CN"/>
        </w:rPr>
      </w:pPr>
      <w:r>
        <w:rPr>
          <w:rFonts w:hint="default" w:ascii="微软雅黑" w:hAnsi="微软雅黑" w:eastAsia="微软雅黑" w:cs="微软雅黑"/>
          <w:sz w:val="24"/>
          <w:szCs w:val="24"/>
          <w:vertAlign w:val="baseline"/>
          <w:lang w:val="en-US" w:eastAsia="zh-CN"/>
        </w:rPr>
        <w:t>公共关系及广告</w:t>
      </w:r>
      <w:r>
        <w:rPr>
          <w:rFonts w:hint="eastAsia" w:ascii="微软雅黑" w:hAnsi="微软雅黑" w:eastAsia="微软雅黑" w:cs="微软雅黑"/>
          <w:sz w:val="24"/>
          <w:szCs w:val="24"/>
          <w:vertAlign w:val="baseline"/>
          <w:lang w:val="en-US" w:eastAsia="zh-CN"/>
        </w:rPr>
        <w:t>（4学分）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sz w:val="24"/>
          <w:szCs w:val="24"/>
          <w:vertAlign w:val="baseline"/>
          <w:lang w:val="en-US" w:eastAsia="zh-CN"/>
        </w:rPr>
      </w:pPr>
      <w:r>
        <w:rPr>
          <w:rFonts w:hint="default" w:ascii="微软雅黑" w:hAnsi="微软雅黑" w:eastAsia="微软雅黑" w:cs="微软雅黑"/>
          <w:sz w:val="24"/>
          <w:szCs w:val="24"/>
          <w:vertAlign w:val="baseline"/>
          <w:lang w:val="en-US" w:eastAsia="zh-CN"/>
        </w:rPr>
        <w:t>Selling for Non-Sales Professionals (Summer - ONLINE) - 2 units</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sz w:val="24"/>
          <w:szCs w:val="24"/>
          <w:vertAlign w:val="baseline"/>
          <w:lang w:val="en-US" w:eastAsia="zh-CN"/>
        </w:rPr>
      </w:pPr>
      <w:r>
        <w:rPr>
          <w:rFonts w:hint="default" w:ascii="微软雅黑" w:hAnsi="微软雅黑" w:eastAsia="微软雅黑" w:cs="微软雅黑"/>
          <w:sz w:val="24"/>
          <w:szCs w:val="24"/>
          <w:vertAlign w:val="baseline"/>
          <w:lang w:val="en-US" w:eastAsia="zh-CN"/>
        </w:rPr>
        <w:t>非专业销售人士</w:t>
      </w:r>
      <w:r>
        <w:rPr>
          <w:rFonts w:hint="eastAsia" w:ascii="微软雅黑" w:hAnsi="微软雅黑" w:eastAsia="微软雅黑" w:cs="微软雅黑"/>
          <w:sz w:val="24"/>
          <w:szCs w:val="24"/>
          <w:vertAlign w:val="baseline"/>
          <w:lang w:val="en-US" w:eastAsia="zh-CN"/>
        </w:rPr>
        <w:t>的</w:t>
      </w:r>
      <w:r>
        <w:rPr>
          <w:rFonts w:hint="default" w:ascii="微软雅黑" w:hAnsi="微软雅黑" w:eastAsia="微软雅黑" w:cs="微软雅黑"/>
          <w:sz w:val="24"/>
          <w:szCs w:val="24"/>
          <w:vertAlign w:val="baseline"/>
          <w:lang w:val="en-US" w:eastAsia="zh-CN"/>
        </w:rPr>
        <w:t>销售</w:t>
      </w:r>
      <w:r>
        <w:rPr>
          <w:rFonts w:hint="eastAsia" w:ascii="微软雅黑" w:hAnsi="微软雅黑" w:eastAsia="微软雅黑" w:cs="微软雅黑"/>
          <w:sz w:val="24"/>
          <w:szCs w:val="24"/>
          <w:vertAlign w:val="baseline"/>
          <w:lang w:val="en-US" w:eastAsia="zh-CN"/>
        </w:rPr>
        <w:t>课程</w:t>
      </w:r>
      <w:bookmarkStart w:id="2" w:name="OLE_LINK3"/>
      <w:r>
        <w:rPr>
          <w:rFonts w:hint="eastAsia" w:ascii="微软雅黑" w:hAnsi="微软雅黑" w:eastAsia="微软雅黑" w:cs="微软雅黑"/>
          <w:sz w:val="24"/>
          <w:szCs w:val="24"/>
          <w:vertAlign w:val="baseline"/>
          <w:lang w:val="en-US" w:eastAsia="zh-CN"/>
        </w:rPr>
        <w:t>(暑期--网课)（2学分）</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bCs/>
          <w:sz w:val="18"/>
          <w:szCs w:val="1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bCs/>
          <w:sz w:val="18"/>
          <w:szCs w:val="18"/>
          <w:vertAlign w:val="baseline"/>
          <w:lang w:val="en-US" w:eastAsia="zh-CN"/>
        </w:rPr>
      </w:pPr>
      <w:r>
        <w:rPr>
          <w:rFonts w:hint="eastAsia" w:ascii="微软雅黑" w:hAnsi="微软雅黑" w:eastAsia="微软雅黑" w:cs="微软雅黑"/>
          <w:b/>
          <w:bCs/>
          <w:sz w:val="18"/>
          <w:szCs w:val="18"/>
          <w:vertAlign w:val="baseline"/>
          <w:lang w:val="en-US" w:eastAsia="zh-CN"/>
        </w:rPr>
        <w:t>注： 品牌战略实施在未来几个学期不开设， 课程将由网页分析和公共关系及广告， 非专业销售人士的销售课程的组合作为证书要求的有效替代。</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b/>
          <w:bCs/>
          <w:sz w:val="18"/>
          <w:szCs w:val="1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ind w:leftChars="0"/>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二、2021春年项目时间:（</w:t>
      </w:r>
      <w:r>
        <w:rPr>
          <w:rFonts w:hint="eastAsia" w:ascii="微软雅黑" w:hAnsi="微软雅黑" w:eastAsia="微软雅黑" w:cs="宋体"/>
          <w:b/>
          <w:bCs/>
          <w:kern w:val="0"/>
          <w:sz w:val="21"/>
          <w:szCs w:val="21"/>
          <w:lang w:val="en-US" w:eastAsia="zh-CN"/>
        </w:rPr>
        <w:t>以下参考以往交流时间，</w:t>
      </w:r>
      <w:r>
        <w:rPr>
          <w:rFonts w:hint="eastAsia" w:ascii="微软雅黑" w:hAnsi="微软雅黑" w:cs="微软雅黑"/>
          <w:b/>
          <w:bCs/>
          <w:sz w:val="21"/>
          <w:szCs w:val="21"/>
          <w:lang w:val="en-US" w:eastAsia="zh-CN"/>
        </w:rPr>
        <w:t>具体</w:t>
      </w:r>
      <w:r>
        <w:rPr>
          <w:rFonts w:hint="eastAsia" w:ascii="微软雅黑" w:hAnsi="微软雅黑" w:eastAsia="微软雅黑" w:cs="微软雅黑"/>
          <w:b/>
          <w:bCs/>
          <w:sz w:val="21"/>
          <w:szCs w:val="21"/>
        </w:rPr>
        <w:t>交流时间以官网或者正式录取信为准</w:t>
      </w:r>
      <w:bookmarkStart w:id="3" w:name="_GoBack"/>
      <w:bookmarkEnd w:id="3"/>
      <w:r>
        <w:rPr>
          <w:rFonts w:hint="eastAsia" w:ascii="微软雅黑" w:hAnsi="微软雅黑" w:eastAsia="微软雅黑" w:cs="微软雅黑"/>
          <w:b/>
          <w:bCs/>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exact"/>
        <w:ind w:leftChars="0"/>
        <w:textAlignment w:val="auto"/>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春季 2021年3月25日--2021年6月11日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exact"/>
        <w:ind w:leftChars="0"/>
        <w:textAlignment w:val="auto"/>
        <w:rPr>
          <w:rFonts w:hint="default"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申请截止  2021年1月20日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三、食宿</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学生可根据需求选择学校提供的住宿。多元化餐饮是加州大学圣塔芭芭拉分校的一大特色。加州大学圣塔芭芭拉分校是极其注重学生的餐饮文化，拥有Carrillo, De La Guerra, Ortega, Portola and Tenaya 5个校园餐厅。学校尊重来自世界各地学生的口味和饮食习惯，提供符合各国的特色餐饮，有西餐，日料，中餐，甜点等。餐厅饮食的食材均来自学校餐饮基地，以保证食材的安全和新鲜。环海的天然优势让海鲜的食材的新鲜度得以保证。除此之外，餐饮团队亦学生膳食的营养搭配，会根据营养搭配和提供不同的餐饮套餐。学生在加州大学圣塔芭芭拉分校即可享受到星级餐厅的饮食待遇。</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b w:val="0"/>
          <w:bCs w:val="0"/>
          <w:sz w:val="24"/>
          <w:szCs w:val="24"/>
          <w:lang w:val="en-US" w:eastAsia="zh-CN"/>
        </w:rPr>
        <w:drawing>
          <wp:inline distT="0" distB="0" distL="114300" distR="114300">
            <wp:extent cx="5498465" cy="2124075"/>
            <wp:effectExtent l="0" t="0" r="6985" b="9525"/>
            <wp:docPr id="11" name="图片 11" descr="about di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about dining"/>
                    <pic:cNvPicPr>
                      <a:picLocks noChangeAspect="1"/>
                    </pic:cNvPicPr>
                  </pic:nvPicPr>
                  <pic:blipFill>
                    <a:blip r:embed="rId6"/>
                    <a:stretch>
                      <a:fillRect/>
                    </a:stretch>
                  </pic:blipFill>
                  <pic:spPr>
                    <a:xfrm>
                      <a:off x="0" y="0"/>
                      <a:ext cx="5498465" cy="21240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四、 申请对象及要求：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  1、全日制大一以上在读本科生；GPA </w:t>
      </w:r>
      <w:r>
        <w:rPr>
          <w:rFonts w:hint="eastAsia" w:ascii="微软雅黑" w:hAnsi="微软雅黑" w:eastAsia="微软雅黑" w:cs="微软雅黑"/>
          <w:sz w:val="24"/>
          <w:szCs w:val="24"/>
          <w:lang w:val="en-US" w:eastAsia="zh-CN"/>
        </w:rPr>
        <w:t>3.0</w:t>
      </w:r>
      <w:r>
        <w:rPr>
          <w:rFonts w:hint="eastAsia" w:ascii="微软雅黑" w:hAnsi="微软雅黑" w:eastAsia="微软雅黑" w:cs="微软雅黑"/>
          <w:sz w:val="24"/>
          <w:szCs w:val="24"/>
          <w:lang w:eastAsia="zh-CN"/>
        </w:rPr>
        <w:t>及以上</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  2、托福（网考）成绩在</w:t>
      </w:r>
      <w:r>
        <w:rPr>
          <w:rFonts w:hint="eastAsia" w:ascii="微软雅黑" w:hAnsi="微软雅黑" w:eastAsia="微软雅黑" w:cs="微软雅黑"/>
          <w:sz w:val="24"/>
          <w:szCs w:val="24"/>
          <w:lang w:val="en-US" w:eastAsia="zh-CN"/>
        </w:rPr>
        <w:t>80</w:t>
      </w:r>
      <w:r>
        <w:rPr>
          <w:rFonts w:hint="eastAsia" w:ascii="微软雅黑" w:hAnsi="微软雅黑" w:eastAsia="微软雅黑" w:cs="微软雅黑"/>
          <w:sz w:val="24"/>
          <w:szCs w:val="24"/>
          <w:lang w:eastAsia="zh-CN"/>
        </w:rPr>
        <w:t>分以上；雅思6.5；</w:t>
      </w:r>
      <w:r>
        <w:rPr>
          <w:rFonts w:hint="eastAsia" w:ascii="微软雅黑" w:hAnsi="微软雅黑" w:eastAsia="微软雅黑" w:cs="微软雅黑"/>
          <w:sz w:val="24"/>
          <w:szCs w:val="24"/>
          <w:lang w:val="en-US" w:eastAsia="zh-CN"/>
        </w:rPr>
        <w:t>CET 4--530; CET 6--500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sz w:val="24"/>
          <w:szCs w:val="24"/>
          <w:lang w:val="en-US" w:eastAsia="zh-CN"/>
        </w:rPr>
      </w:pPr>
      <w:r>
        <w:rPr>
          <w:rFonts w:hint="default" w:ascii="微软雅黑" w:hAnsi="微软雅黑" w:eastAsia="微软雅黑" w:cs="微软雅黑"/>
          <w:sz w:val="24"/>
          <w:szCs w:val="24"/>
          <w:lang w:val="en-US" w:eastAsia="zh-CN"/>
        </w:rPr>
        <w:t>iTEP A: level 5   TOEIC: 780   Duolingo: 105+</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bCs/>
          <w:sz w:val="21"/>
          <w:szCs w:val="21"/>
          <w:lang w:eastAsia="zh-CN"/>
        </w:rPr>
      </w:pPr>
      <w:r>
        <w:rPr>
          <w:rFonts w:hint="eastAsia" w:ascii="微软雅黑" w:hAnsi="微软雅黑" w:eastAsia="微软雅黑" w:cs="微软雅黑"/>
          <w:b/>
          <w:bCs/>
          <w:sz w:val="21"/>
          <w:szCs w:val="21"/>
          <w:lang w:eastAsia="zh-CN"/>
        </w:rPr>
        <w:t>低于标准语言成绩的要求，需要补修1-2门语言课</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bCs/>
          <w:sz w:val="21"/>
          <w:szCs w:val="21"/>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 xml:space="preserve">五、 报名所需材料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1.《普通本科生出国（境）交流学习申请表》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2. 学院开具的成绩单一份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 学院开具的绩点证明一份（包含专业绩点和总绩点）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4. 开学前有效的国际认可英语语言成绩单复印件一份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六、申请材料</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1、护照首页复印件 1份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2、中英文本科成绩单原件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3、中英文本科在读证明原件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4、雅思/托福成绩单扫描件1份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lang w:eastAsia="zh-CN"/>
        </w:rPr>
        <w:t>、存款证明中英文</w:t>
      </w:r>
      <w:r>
        <w:rPr>
          <w:rFonts w:hint="eastAsia" w:ascii="微软雅黑" w:hAnsi="微软雅黑" w:eastAsia="微软雅黑" w:cs="微软雅黑"/>
          <w:sz w:val="24"/>
          <w:szCs w:val="24"/>
          <w:lang w:val="en-US" w:eastAsia="zh-CN"/>
        </w:rPr>
        <w:t xml:space="preserve"> 1份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val="en-US" w:eastAsia="zh-CN"/>
        </w:rPr>
      </w:pPr>
    </w:p>
    <w:p>
      <w:pPr>
        <w:numPr>
          <w:ilvl w:val="0"/>
          <w:numId w:val="0"/>
        </w:numPr>
        <w:rPr>
          <w:rFonts w:hint="eastAsia" w:ascii="微软雅黑" w:hAnsi="微软雅黑" w:cs="微软雅黑"/>
          <w:b/>
          <w:bCs/>
          <w:color w:val="auto"/>
          <w:sz w:val="24"/>
          <w:szCs w:val="24"/>
          <w:lang w:val="en-US" w:eastAsia="zh-CN"/>
        </w:rPr>
      </w:pPr>
      <w:r>
        <w:rPr>
          <w:rFonts w:hint="eastAsia" w:ascii="微软雅黑" w:hAnsi="微软雅黑" w:cs="微软雅黑"/>
          <w:b/>
          <w:bCs/>
          <w:color w:val="auto"/>
          <w:sz w:val="24"/>
          <w:szCs w:val="24"/>
          <w:lang w:val="en-US" w:eastAsia="zh-CN"/>
        </w:rPr>
        <w:t>七、项目咨询</w:t>
      </w:r>
    </w:p>
    <w:p>
      <w:pPr>
        <w:numPr>
          <w:ilvl w:val="0"/>
          <w:numId w:val="0"/>
        </w:numPr>
        <w:rPr>
          <w:rFonts w:hint="default" w:ascii="微软雅黑" w:hAnsi="微软雅黑" w:cs="微软雅黑"/>
          <w:color w:val="auto"/>
          <w:sz w:val="24"/>
          <w:szCs w:val="24"/>
          <w:lang w:val="en-US" w:eastAsia="zh-CN"/>
        </w:rPr>
      </w:pPr>
      <w:r>
        <w:rPr>
          <w:rFonts w:hint="eastAsia" w:ascii="微软雅黑" w:hAnsi="微软雅黑" w:cs="微软雅黑"/>
          <w:color w:val="auto"/>
          <w:sz w:val="24"/>
          <w:szCs w:val="24"/>
          <w:lang w:val="en-US" w:eastAsia="zh-CN"/>
        </w:rPr>
        <w:t>费用详情及报名咨询请加QQ1283028576 赵老师</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9DB6D9"/>
    <w:multiLevelType w:val="singleLevel"/>
    <w:tmpl w:val="EA9DB6D9"/>
    <w:lvl w:ilvl="0" w:tentative="0">
      <w:start w:val="2"/>
      <w:numFmt w:val="upperLetter"/>
      <w:suff w:val="space"/>
      <w:lvlText w:val="%1."/>
      <w:lvlJc w:val="left"/>
    </w:lvl>
  </w:abstractNum>
  <w:abstractNum w:abstractNumId="1">
    <w:nsid w:val="428B71C7"/>
    <w:multiLevelType w:val="singleLevel"/>
    <w:tmpl w:val="428B71C7"/>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AD0189"/>
    <w:rsid w:val="018447D1"/>
    <w:rsid w:val="0CE8194D"/>
    <w:rsid w:val="11ED7E8C"/>
    <w:rsid w:val="180841F7"/>
    <w:rsid w:val="20AD0189"/>
    <w:rsid w:val="29B15424"/>
    <w:rsid w:val="2D1A3F37"/>
    <w:rsid w:val="302A55A1"/>
    <w:rsid w:val="3E866EE8"/>
    <w:rsid w:val="44D67173"/>
    <w:rsid w:val="59B9738D"/>
    <w:rsid w:val="5EB82C15"/>
    <w:rsid w:val="66D15B57"/>
    <w:rsid w:val="6E434E5E"/>
    <w:rsid w:val="7010536C"/>
    <w:rsid w:val="70FF0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5"/>
    <w:basedOn w:val="1"/>
    <w:next w:val="1"/>
    <w:semiHidden/>
    <w:unhideWhenUsed/>
    <w:qFormat/>
    <w:uiPriority w:val="0"/>
    <w:pPr>
      <w:spacing w:before="0" w:beforeAutospacing="1" w:after="0" w:afterAutospacing="1"/>
      <w:jc w:val="left"/>
    </w:pPr>
    <w:rPr>
      <w:rFonts w:hint="eastAsia" w:ascii="宋体" w:hAnsi="宋体" w:eastAsia="宋体" w:cs="宋体"/>
      <w:b/>
      <w:kern w:val="0"/>
      <w:sz w:val="20"/>
      <w:szCs w:val="20"/>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rPr>
      <w:sz w:val="24"/>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2019-09-20T06:08:00Z</dcterms:created>
  <dc:creator>Rebecca Lei</dc:creator>
  <cp:lastModifiedBy>Administrator</cp:lastModifiedBy>
  <dcterms:modified xsi:type="dcterms:W3CDTF">2020-06-29T08:11:59Z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