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附件1：2019年拟资助项目及名额</w:t>
      </w:r>
      <w:r>
        <w:rPr>
          <w:rFonts w:ascii="宋体" w:hAnsi="宋体"/>
          <w:sz w:val="28"/>
          <w:szCs w:val="28"/>
        </w:rPr>
        <w:t xml:space="preserve"> </w:t>
      </w:r>
    </w:p>
    <w:p>
      <w:pPr>
        <w:rPr>
          <w:rFonts w:hint="eastAsia" w:ascii="宋体" w:hAnsi="宋体"/>
          <w:sz w:val="28"/>
          <w:szCs w:val="28"/>
        </w:rPr>
      </w:pPr>
    </w:p>
    <w:tbl>
      <w:tblPr>
        <w:tblStyle w:val="4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387"/>
        <w:gridCol w:w="850"/>
        <w:gridCol w:w="851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75" w:type="dxa"/>
            <w:vMerge w:val="restart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项目时间</w:t>
            </w:r>
          </w:p>
        </w:tc>
        <w:tc>
          <w:tcPr>
            <w:tcW w:w="5387" w:type="dxa"/>
            <w:vMerge w:val="restart"/>
          </w:tcPr>
          <w:p>
            <w:pPr>
              <w:spacing w:line="276" w:lineRule="auto"/>
              <w:ind w:firstLine="330" w:firstLineChars="150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项目名称</w:t>
            </w:r>
          </w:p>
        </w:tc>
        <w:tc>
          <w:tcPr>
            <w:tcW w:w="1701" w:type="dxa"/>
            <w:gridSpan w:val="2"/>
          </w:tcPr>
          <w:p>
            <w:pPr>
              <w:spacing w:line="276" w:lineRule="auto"/>
              <w:jc w:val="center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资助名额</w:t>
            </w:r>
          </w:p>
        </w:tc>
        <w:tc>
          <w:tcPr>
            <w:tcW w:w="992" w:type="dxa"/>
            <w:vMerge w:val="restart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资助</w:t>
            </w:r>
          </w:p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标准/人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  <w:vMerge w:val="continue"/>
          </w:tcPr>
          <w:p>
            <w:pPr>
              <w:spacing w:line="276" w:lineRule="auto"/>
              <w:ind w:firstLine="330" w:firstLineChars="150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0" w:type="dxa"/>
          </w:tcPr>
          <w:p>
            <w:pPr>
              <w:spacing w:line="276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本科生</w:t>
            </w:r>
          </w:p>
        </w:tc>
        <w:tc>
          <w:tcPr>
            <w:tcW w:w="851" w:type="dxa"/>
          </w:tcPr>
          <w:p>
            <w:pPr>
              <w:spacing w:line="276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研究生 </w:t>
            </w: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>
            <w:pPr>
              <w:spacing w:line="276" w:lineRule="auto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/>
                <w:color w:val="000000"/>
                <w:sz w:val="22"/>
                <w:szCs w:val="21"/>
              </w:rPr>
              <w:t>短期（3个月以内）</w:t>
            </w:r>
          </w:p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美国哈佛大学暑期学分课程学习项目</w:t>
            </w:r>
          </w:p>
        </w:tc>
        <w:tc>
          <w:tcPr>
            <w:tcW w:w="850" w:type="dxa"/>
            <w:vMerge w:val="restart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15</w:t>
            </w:r>
            <w:bookmarkStart w:id="0" w:name="_GoBack"/>
            <w:bookmarkEnd w:id="0"/>
            <w:r>
              <w:rPr>
                <w:rFonts w:hint="eastAsia" w:ascii="宋体" w:hAnsi="宋体"/>
                <w:sz w:val="22"/>
                <w:szCs w:val="21"/>
              </w:rPr>
              <w:t>人</w:t>
            </w:r>
          </w:p>
        </w:tc>
        <w:tc>
          <w:tcPr>
            <w:tcW w:w="851" w:type="dxa"/>
            <w:vMerge w:val="restart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3人</w:t>
            </w:r>
          </w:p>
        </w:tc>
        <w:tc>
          <w:tcPr>
            <w:tcW w:w="992" w:type="dxa"/>
            <w:vMerge w:val="restart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不超过</w:t>
            </w:r>
          </w:p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3000（元）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美国康奈尔大学暑期学分课程学习项目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美国宾夕法尼亚大学寒暑期学习交流项目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美国加州大学伯克利分校暑期学分课程学习项目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美国密歇根州立大学暑期游学项目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大学生赴美社会调研项目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英国伦敦政治经济学院暑期课程学习项目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澳大利亚精英高等教育学院暑期课程实习项目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英国剑桥大学暑期夏令营项目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学生自行联系的符合条件的其他交流项目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中期（3个月-12个月）</w:t>
            </w: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美国哈佛大学一学期学分课程学习项目</w:t>
            </w:r>
          </w:p>
        </w:tc>
        <w:tc>
          <w:tcPr>
            <w:tcW w:w="850" w:type="dxa"/>
            <w:vMerge w:val="restart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20人</w:t>
            </w:r>
          </w:p>
        </w:tc>
        <w:tc>
          <w:tcPr>
            <w:tcW w:w="851" w:type="dxa"/>
            <w:vMerge w:val="restart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3人</w:t>
            </w:r>
          </w:p>
        </w:tc>
        <w:tc>
          <w:tcPr>
            <w:tcW w:w="992" w:type="dxa"/>
            <w:vMerge w:val="restart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不超过</w:t>
            </w:r>
          </w:p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5000（元）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美国康奈尔大学一学期学分课程学习项目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美国宾夕法尼亚大学一学期学分课程学习项目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美国加州大学伯克利分校一学期学分课程学习项目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美国加州大学洛杉矶分校一学期学分课程学习项目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美国加州大学圣地亚哥分校一学期学分课程学习项目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美国加州大学圣芭芭拉分校一学期学分课程学习项目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英国桑德兰大学18周课程学习项目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英国林肯大学1+1+1硕士合作项目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加拿大圣克莱尔学院3+1合作项目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澳大利亚精英高等教育学院1+1+1硕士合作项目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1"/>
              </w:rPr>
              <w:t>瑞士苏黎世大学1+1+1中欧商业管理硕士项目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1"/>
              </w:rPr>
              <w:t>瑞典于默尔大学一学期交换生项目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 w:ascii="宋体" w:hAnsi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学生自行联系的符合条件的其他交流项目</w:t>
            </w:r>
          </w:p>
        </w:tc>
        <w:tc>
          <w:tcPr>
            <w:tcW w:w="850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长期（12个月以上）</w:t>
            </w:r>
          </w:p>
        </w:tc>
        <w:tc>
          <w:tcPr>
            <w:tcW w:w="5387" w:type="dxa"/>
          </w:tcPr>
          <w:p>
            <w:pPr>
              <w:spacing w:line="276" w:lineRule="auto"/>
              <w:rPr>
                <w:rFonts w:hint="eastAsia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1"/>
              </w:rPr>
              <w:t>美国</w:t>
            </w:r>
            <w:r>
              <w:rPr>
                <w:rFonts w:hint="eastAsia"/>
                <w:sz w:val="22"/>
                <w:szCs w:val="21"/>
              </w:rPr>
              <w:t>诺斯伍德大学3+1+1本硕连读项目</w:t>
            </w:r>
          </w:p>
        </w:tc>
        <w:tc>
          <w:tcPr>
            <w:tcW w:w="850" w:type="dxa"/>
            <w:vMerge w:val="restart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3</w:t>
            </w:r>
          </w:p>
        </w:tc>
        <w:tc>
          <w:tcPr>
            <w:tcW w:w="851" w:type="dxa"/>
            <w:vMerge w:val="restart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0</w:t>
            </w:r>
          </w:p>
        </w:tc>
        <w:tc>
          <w:tcPr>
            <w:tcW w:w="992" w:type="dxa"/>
            <w:vMerge w:val="restart"/>
          </w:tcPr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不超过</w:t>
            </w:r>
          </w:p>
          <w:p>
            <w:pPr>
              <w:spacing w:line="276" w:lineRule="auto"/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10000（元）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387" w:type="dxa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美国蒙哥马利奥本大学3+1+1本硕连读项目</w:t>
            </w:r>
          </w:p>
        </w:tc>
        <w:tc>
          <w:tcPr>
            <w:tcW w:w="850" w:type="dxa"/>
            <w:vMerge w:val="continue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387" w:type="dxa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美国拉文大学3+1+1本硕连读项目</w:t>
            </w:r>
          </w:p>
        </w:tc>
        <w:tc>
          <w:tcPr>
            <w:tcW w:w="850" w:type="dxa"/>
            <w:vMerge w:val="continue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387" w:type="dxa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美国佛罗里达理工学院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2+2双本科合作项目</w:t>
            </w:r>
          </w:p>
        </w:tc>
        <w:tc>
          <w:tcPr>
            <w:tcW w:w="850" w:type="dxa"/>
            <w:vMerge w:val="continue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387" w:type="dxa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英国林肯大学2+2本科合作项目</w:t>
            </w:r>
          </w:p>
        </w:tc>
        <w:tc>
          <w:tcPr>
            <w:tcW w:w="850" w:type="dxa"/>
            <w:vMerge w:val="continue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387" w:type="dxa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学生自行联系的符合条件的其他交流项目</w:t>
            </w:r>
          </w:p>
        </w:tc>
        <w:tc>
          <w:tcPr>
            <w:tcW w:w="850" w:type="dxa"/>
            <w:vMerge w:val="continue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0E5"/>
    <w:rsid w:val="000C3BA5"/>
    <w:rsid w:val="003D24E6"/>
    <w:rsid w:val="005C10E5"/>
    <w:rsid w:val="006F3DFB"/>
    <w:rsid w:val="2592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129</Words>
  <Characters>739</Characters>
  <Lines>6</Lines>
  <Paragraphs>1</Paragraphs>
  <TotalTime>0</TotalTime>
  <ScaleCrop>false</ScaleCrop>
  <LinksUpToDate>false</LinksUpToDate>
  <CharactersWithSpaces>867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2019-04-16T02:01:00Z</dcterms:created>
  <dc:creator>Sky123.Org</dc:creator>
  <cp:lastModifiedBy>李阳阳</cp:lastModifiedBy>
  <dcterms:modified xsi:type="dcterms:W3CDTF">2019-04-23T06:37:01Z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