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40" w:lineRule="exact"/>
        <w:jc w:val="both"/>
        <w:textAlignment w:val="baseline"/>
        <w:rPr>
          <w:rFonts w:ascii="Times New Roman" w:hAnsi="Times New Roman" w:eastAsia="黑体"/>
          <w:bCs/>
          <w:sz w:val="28"/>
          <w:szCs w:val="32"/>
        </w:rPr>
      </w:pPr>
      <w:r>
        <w:rPr>
          <w:rFonts w:hint="eastAsia" w:ascii="Times New Roman" w:hAnsi="Times New Roman" w:eastAsia="黑体"/>
          <w:bCs/>
          <w:sz w:val="28"/>
          <w:szCs w:val="32"/>
        </w:rPr>
        <w:t>附件</w:t>
      </w:r>
      <w:r>
        <w:rPr>
          <w:rFonts w:ascii="Times New Roman" w:hAnsi="Times New Roman" w:eastAsia="仿宋"/>
          <w:bCs/>
          <w:sz w:val="28"/>
          <w:szCs w:val="32"/>
        </w:rPr>
        <w:t>1</w:t>
      </w:r>
      <w:r>
        <w:rPr>
          <w:rFonts w:hint="eastAsia" w:ascii="Times New Roman" w:hAnsi="Times New Roman" w:eastAsia="黑体"/>
          <w:bCs/>
          <w:sz w:val="28"/>
          <w:szCs w:val="32"/>
        </w:rPr>
        <w:t>：</w:t>
      </w:r>
    </w:p>
    <w:p>
      <w:pPr>
        <w:pStyle w:val="2"/>
        <w:shd w:val="clear" w:color="auto" w:fill="FFFFFF"/>
        <w:spacing w:before="0" w:beforeAutospacing="0" w:after="0" w:afterAutospacing="0" w:line="540" w:lineRule="exact"/>
        <w:ind w:firstLine="720" w:firstLineChars="200"/>
        <w:jc w:val="center"/>
        <w:textAlignment w:val="baseline"/>
        <w:rPr>
          <w:rFonts w:ascii="Times New Roman" w:hAnsi="Times New Roman" w:eastAsia="方正小标宋简体"/>
          <w:bCs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/>
          <w:bCs/>
          <w:sz w:val="36"/>
          <w:szCs w:val="36"/>
        </w:rPr>
        <w:t>2021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年党建与思想政治工作</w:t>
      </w:r>
    </w:p>
    <w:p>
      <w:pPr>
        <w:pStyle w:val="2"/>
        <w:shd w:val="clear" w:color="auto" w:fill="FFFFFF"/>
        <w:spacing w:before="0" w:beforeAutospacing="0" w:after="0" w:afterAutospacing="0" w:line="540" w:lineRule="exact"/>
        <w:ind w:firstLine="720" w:firstLineChars="200"/>
        <w:jc w:val="center"/>
        <w:textAlignment w:val="baseline"/>
        <w:rPr>
          <w:rFonts w:ascii="Times New Roman" w:hAnsi="Times New Roman" w:eastAsia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/>
          <w:bCs/>
          <w:sz w:val="36"/>
          <w:szCs w:val="36"/>
        </w:rPr>
        <w:t>专项研究课题申报指南</w:t>
      </w:r>
    </w:p>
    <w:bookmarkEnd w:id="0"/>
    <w:p>
      <w:pPr>
        <w:snapToGrid w:val="0"/>
        <w:spacing w:line="540" w:lineRule="exact"/>
        <w:ind w:firstLine="562" w:firstLineChars="200"/>
        <w:rPr>
          <w:rFonts w:ascii="Times New Roman" w:hAnsi="Times New Roman" w:eastAsia="楷体_GB2312" w:cs="Times New Roman"/>
          <w:b/>
          <w:sz w:val="28"/>
          <w:szCs w:val="32"/>
        </w:rPr>
      </w:pP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1.新时代高校党组织政治功能和组织力发挥的现状及对策研究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2.专业特色视角下基层党建工作品牌建设策略研究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3.师生党支部联合共建的机制措施研究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4.党建与业务工作深度融合典型案例研究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5.在实践中考察、检验党员的评价指标体系研究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6.学生党支部参与班级、年级、学生社团组织管理工作研究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7.全面从严治党视角下基层党组织日常监督机制探索研究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8.创新党员日常管理模式，提高党员管理水平研究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9.党员干部下沉社区工作的参与路径与成效分析</w:t>
      </w:r>
    </w:p>
    <w:p>
      <w:pPr>
        <w:snapToGrid w:val="0"/>
        <w:spacing w:line="540" w:lineRule="exact"/>
        <w:ind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10.教师党支部建设与人才培养工作深度融合的研究与实践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11.学生党员发展质量提升研究</w:t>
      </w:r>
    </w:p>
    <w:p>
      <w:pPr>
        <w:snapToGrid w:val="0"/>
        <w:spacing w:line="540" w:lineRule="exact"/>
        <w:ind w:firstLine="560" w:firstLineChars="200"/>
        <w:rPr>
          <w:rFonts w:ascii="Times New Roman" w:hAnsi="Times New Roman" w:eastAsia="仿宋_GB2312"/>
          <w:bCs/>
          <w:sz w:val="28"/>
          <w:szCs w:val="32"/>
        </w:rPr>
      </w:pPr>
      <w:r>
        <w:rPr>
          <w:rFonts w:ascii="Times New Roman" w:hAnsi="Times New Roman" w:eastAsia="仿宋_GB2312"/>
          <w:bCs/>
          <w:sz w:val="28"/>
          <w:szCs w:val="32"/>
        </w:rPr>
        <w:t>1</w:t>
      </w:r>
      <w:r>
        <w:rPr>
          <w:rFonts w:hint="eastAsia" w:ascii="Times New Roman" w:hAnsi="Times New Roman" w:eastAsia="仿宋_GB2312"/>
          <w:bCs/>
          <w:sz w:val="28"/>
          <w:szCs w:val="32"/>
        </w:rPr>
        <w:t>2</w:t>
      </w:r>
      <w:r>
        <w:rPr>
          <w:rFonts w:ascii="Times New Roman" w:hAnsi="Times New Roman" w:eastAsia="仿宋_GB2312"/>
          <w:bCs/>
          <w:sz w:val="28"/>
          <w:szCs w:val="32"/>
        </w:rPr>
        <w:t>.</w:t>
      </w:r>
      <w:r>
        <w:rPr>
          <w:rFonts w:hint="eastAsia" w:ascii="Times New Roman" w:hAnsi="Times New Roman" w:eastAsia="仿宋_GB2312"/>
          <w:bCs/>
          <w:sz w:val="28"/>
          <w:szCs w:val="32"/>
        </w:rPr>
        <w:t>青年后备干部教育实践培养体系研究</w:t>
      </w:r>
    </w:p>
    <w:p>
      <w:pPr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1</w:t>
      </w:r>
      <w:r>
        <w:rPr>
          <w:rFonts w:hint="eastAsia" w:ascii="Times New Roman" w:hAnsi="Times New Roman" w:eastAsia="仿宋_GB2312"/>
          <w:sz w:val="28"/>
          <w:szCs w:val="32"/>
        </w:rPr>
        <w:t>3</w:t>
      </w:r>
      <w:r>
        <w:rPr>
          <w:rFonts w:ascii="Times New Roman" w:hAnsi="Times New Roman" w:eastAsia="仿宋_GB2312"/>
          <w:sz w:val="28"/>
          <w:szCs w:val="32"/>
        </w:rPr>
        <w:t>.</w:t>
      </w:r>
      <w:r>
        <w:rPr>
          <w:rFonts w:hint="eastAsia" w:ascii="Times New Roman" w:hAnsi="Times New Roman" w:eastAsia="仿宋_GB2312"/>
          <w:sz w:val="28"/>
          <w:szCs w:val="32"/>
        </w:rPr>
        <w:t>加强高校党外知识分子思想政治工作研究</w:t>
      </w:r>
    </w:p>
    <w:p>
      <w:pPr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1</w:t>
      </w:r>
      <w:r>
        <w:rPr>
          <w:rFonts w:hint="eastAsia" w:ascii="Times New Roman" w:hAnsi="Times New Roman" w:eastAsia="仿宋_GB2312"/>
          <w:sz w:val="28"/>
          <w:szCs w:val="32"/>
        </w:rPr>
        <w:t>4</w:t>
      </w:r>
      <w:r>
        <w:rPr>
          <w:rFonts w:ascii="Times New Roman" w:hAnsi="Times New Roman" w:eastAsia="仿宋_GB2312"/>
          <w:sz w:val="28"/>
          <w:szCs w:val="32"/>
        </w:rPr>
        <w:t>.</w:t>
      </w:r>
      <w:r>
        <w:rPr>
          <w:rFonts w:hint="eastAsia" w:ascii="Times New Roman" w:hAnsi="Times New Roman" w:eastAsia="仿宋_GB2312"/>
          <w:sz w:val="28"/>
          <w:szCs w:val="32"/>
        </w:rPr>
        <w:t>加强党内监督，深化作风建设长效机制研究</w:t>
      </w:r>
    </w:p>
    <w:p>
      <w:pPr>
        <w:snapToGrid w:val="0"/>
        <w:spacing w:line="540" w:lineRule="exact"/>
        <w:ind w:firstLine="560" w:firstLineChars="200"/>
        <w:rPr>
          <w:rFonts w:ascii="Times New Roman" w:hAnsi="Times New Roman" w:eastAsia="仿宋_GB2312"/>
          <w:bCs/>
          <w:sz w:val="28"/>
          <w:szCs w:val="32"/>
        </w:rPr>
      </w:pPr>
      <w:r>
        <w:rPr>
          <w:rFonts w:ascii="Times New Roman" w:hAnsi="Times New Roman" w:eastAsia="仿宋_GB2312"/>
          <w:bCs/>
          <w:sz w:val="28"/>
          <w:szCs w:val="32"/>
        </w:rPr>
        <w:t>1</w:t>
      </w:r>
      <w:r>
        <w:rPr>
          <w:rFonts w:hint="eastAsia" w:ascii="Times New Roman" w:hAnsi="Times New Roman" w:eastAsia="仿宋_GB2312"/>
          <w:bCs/>
          <w:sz w:val="28"/>
          <w:szCs w:val="32"/>
        </w:rPr>
        <w:t>5</w:t>
      </w:r>
      <w:r>
        <w:rPr>
          <w:rFonts w:ascii="Times New Roman" w:hAnsi="Times New Roman" w:eastAsia="仿宋_GB2312"/>
          <w:bCs/>
          <w:sz w:val="28"/>
          <w:szCs w:val="32"/>
        </w:rPr>
        <w:t>.</w:t>
      </w:r>
      <w:r>
        <w:rPr>
          <w:rFonts w:hint="eastAsia" w:ascii="Times New Roman" w:hAnsi="Times New Roman" w:eastAsia="仿宋_GB2312"/>
          <w:bCs/>
          <w:sz w:val="28"/>
          <w:szCs w:val="32"/>
        </w:rPr>
        <w:t>高校形式主义、官僚主义的表现形式及解决对策研究</w:t>
      </w:r>
    </w:p>
    <w:p>
      <w:pPr>
        <w:snapToGrid w:val="0"/>
        <w:spacing w:line="540" w:lineRule="exact"/>
        <w:ind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_GB2312"/>
          <w:bCs/>
          <w:sz w:val="28"/>
          <w:szCs w:val="32"/>
        </w:rPr>
        <w:t>16</w:t>
      </w:r>
      <w:r>
        <w:rPr>
          <w:rFonts w:ascii="Times New Roman" w:hAnsi="Times New Roman" w:eastAsia="仿宋_GB2312"/>
          <w:bCs/>
          <w:sz w:val="28"/>
          <w:szCs w:val="32"/>
        </w:rPr>
        <w:t>.</w:t>
      </w:r>
      <w:r>
        <w:rPr>
          <w:rFonts w:hint="eastAsia" w:ascii="Times New Roman" w:hAnsi="Times New Roman" w:eastAsia="仿宋_GB2312"/>
          <w:bCs/>
          <w:sz w:val="28"/>
          <w:szCs w:val="32"/>
        </w:rPr>
        <w:t>高校基层党组织纪检委员作用发挥机制研究</w:t>
      </w:r>
    </w:p>
    <w:p>
      <w:pPr>
        <w:snapToGrid w:val="0"/>
        <w:spacing w:line="540" w:lineRule="exact"/>
        <w:ind w:firstLine="560" w:firstLineChars="200"/>
        <w:rPr>
          <w:rFonts w:ascii="Times New Roman" w:hAnsi="Times New Roman" w:eastAsia="仿宋_GB2312"/>
          <w:bCs/>
          <w:sz w:val="28"/>
          <w:szCs w:val="32"/>
        </w:rPr>
      </w:pPr>
      <w:r>
        <w:rPr>
          <w:rFonts w:ascii="Times New Roman" w:hAnsi="Times New Roman" w:eastAsia="仿宋_GB2312"/>
          <w:bCs/>
          <w:sz w:val="28"/>
          <w:szCs w:val="32"/>
        </w:rPr>
        <w:t>1</w:t>
      </w:r>
      <w:r>
        <w:rPr>
          <w:rFonts w:hint="eastAsia" w:ascii="Times New Roman" w:hAnsi="Times New Roman" w:eastAsia="仿宋_GB2312"/>
          <w:bCs/>
          <w:sz w:val="28"/>
          <w:szCs w:val="32"/>
        </w:rPr>
        <w:t>7</w:t>
      </w:r>
      <w:r>
        <w:rPr>
          <w:rFonts w:ascii="Times New Roman" w:hAnsi="Times New Roman" w:eastAsia="仿宋_GB2312"/>
          <w:bCs/>
          <w:sz w:val="28"/>
          <w:szCs w:val="32"/>
        </w:rPr>
        <w:t>.</w:t>
      </w:r>
      <w:r>
        <w:rPr>
          <w:rFonts w:hint="eastAsia" w:ascii="Times New Roman" w:hAnsi="Times New Roman" w:eastAsia="仿宋_GB2312"/>
          <w:bCs/>
          <w:sz w:val="28"/>
          <w:szCs w:val="32"/>
        </w:rPr>
        <w:t>高校学生党员身份认同感现状分析与发展研究</w:t>
      </w:r>
    </w:p>
    <w:p>
      <w:pPr>
        <w:snapToGrid w:val="0"/>
        <w:spacing w:line="540" w:lineRule="exact"/>
        <w:ind w:firstLine="560" w:firstLineChars="200"/>
        <w:rPr>
          <w:rFonts w:ascii="Times New Roman" w:hAnsi="Times New Roman" w:eastAsia="仿宋_GB2312"/>
          <w:bCs/>
          <w:sz w:val="28"/>
          <w:szCs w:val="32"/>
        </w:rPr>
      </w:pPr>
      <w:r>
        <w:rPr>
          <w:rFonts w:ascii="Times New Roman" w:hAnsi="Times New Roman" w:eastAsia="仿宋_GB2312"/>
          <w:bCs/>
          <w:sz w:val="28"/>
          <w:szCs w:val="32"/>
        </w:rPr>
        <w:t>1</w:t>
      </w:r>
      <w:r>
        <w:rPr>
          <w:rFonts w:hint="eastAsia" w:ascii="Times New Roman" w:hAnsi="Times New Roman" w:eastAsia="仿宋_GB2312"/>
          <w:bCs/>
          <w:sz w:val="28"/>
          <w:szCs w:val="32"/>
        </w:rPr>
        <w:t>8</w:t>
      </w:r>
      <w:r>
        <w:rPr>
          <w:rFonts w:ascii="Times New Roman" w:hAnsi="Times New Roman" w:eastAsia="仿宋_GB2312"/>
          <w:bCs/>
          <w:sz w:val="28"/>
          <w:szCs w:val="32"/>
        </w:rPr>
        <w:t>.</w:t>
      </w:r>
      <w:r>
        <w:rPr>
          <w:rFonts w:hint="eastAsia" w:ascii="Times New Roman" w:hAnsi="Times New Roman" w:eastAsia="仿宋_GB2312"/>
          <w:bCs/>
          <w:sz w:val="28"/>
          <w:szCs w:val="32"/>
        </w:rPr>
        <w:t>新形势下高校党员培训机制的实效性研究</w:t>
      </w:r>
    </w:p>
    <w:p>
      <w:pPr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32"/>
        </w:rPr>
      </w:pPr>
      <w:r>
        <w:rPr>
          <w:rFonts w:hint="eastAsia" w:ascii="Times New Roman" w:hAnsi="Times New Roman" w:eastAsia="仿宋_GB2312"/>
          <w:sz w:val="28"/>
          <w:szCs w:val="32"/>
        </w:rPr>
        <w:t>19</w:t>
      </w:r>
      <w:r>
        <w:rPr>
          <w:rFonts w:ascii="Times New Roman" w:hAnsi="Times New Roman" w:eastAsia="仿宋_GB2312"/>
          <w:sz w:val="28"/>
          <w:szCs w:val="32"/>
        </w:rPr>
        <w:t>.</w:t>
      </w:r>
      <w:r>
        <w:rPr>
          <w:rFonts w:hint="eastAsia" w:ascii="Times New Roman" w:hAnsi="Times New Roman" w:eastAsia="仿宋_GB2312"/>
          <w:sz w:val="28"/>
          <w:szCs w:val="32"/>
        </w:rPr>
        <w:t>党内政治文化引领校园文化建设研究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20.高校深入开展“四史”教育研究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21.新时代高校辅导员核心素养研究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22.“三全育人”背景下高校辅导员育人定位与实现路径研究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23.疫情防控常态化背景下大学生就业指导与服务的创新研究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24.立德树人视角下高校资助育人体系建设研究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25.新时代劳动教育研究</w:t>
      </w:r>
    </w:p>
    <w:p>
      <w:pPr>
        <w:snapToGrid w:val="0"/>
        <w:spacing w:line="540" w:lineRule="exact"/>
        <w:ind w:firstLine="560" w:firstLineChars="200"/>
        <w:rPr>
          <w:rFonts w:ascii="Times New Roman" w:hAnsi="Times New Roman" w:eastAsia="仿宋_GB2312"/>
          <w:bCs/>
          <w:sz w:val="28"/>
          <w:szCs w:val="32"/>
        </w:rPr>
      </w:pPr>
      <w:r>
        <w:rPr>
          <w:rFonts w:ascii="Times New Roman" w:hAnsi="Times New Roman" w:eastAsia="仿宋_GB2312"/>
          <w:bCs/>
          <w:sz w:val="28"/>
          <w:szCs w:val="32"/>
        </w:rPr>
        <w:t>2</w:t>
      </w:r>
      <w:r>
        <w:rPr>
          <w:rFonts w:hint="eastAsia" w:ascii="Times New Roman" w:hAnsi="Times New Roman" w:eastAsia="仿宋_GB2312"/>
          <w:bCs/>
          <w:sz w:val="28"/>
          <w:szCs w:val="32"/>
        </w:rPr>
        <w:t>6</w:t>
      </w:r>
      <w:r>
        <w:rPr>
          <w:rFonts w:ascii="Times New Roman" w:hAnsi="Times New Roman" w:eastAsia="仿宋_GB2312"/>
          <w:bCs/>
          <w:sz w:val="28"/>
          <w:szCs w:val="32"/>
        </w:rPr>
        <w:t>.</w:t>
      </w:r>
      <w:r>
        <w:rPr>
          <w:rFonts w:hint="eastAsia" w:ascii="Times New Roman" w:hAnsi="Times New Roman" w:eastAsia="仿宋_GB2312"/>
          <w:bCs/>
          <w:sz w:val="28"/>
          <w:szCs w:val="32"/>
        </w:rPr>
        <w:t>辅导员“党代表”作用发挥路径创新研究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27.高校辅导员与专业课教师协同育人研究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28.高校思想政治工作质量评价研究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29.学生党支部在服务学生成长成才教育中的研究</w:t>
      </w:r>
    </w:p>
    <w:p>
      <w:pPr>
        <w:spacing w:line="540" w:lineRule="exact"/>
        <w:ind w:right="640" w:firstLine="560" w:firstLineChars="200"/>
        <w:rPr>
          <w:rFonts w:ascii="Times New Roman" w:hAnsi="Times New Roman" w:eastAsia="仿宋" w:cs="宋体"/>
          <w:kern w:val="0"/>
          <w:sz w:val="28"/>
          <w:szCs w:val="29"/>
          <w:shd w:val="clear" w:color="auto" w:fill="FFFFFF"/>
        </w:rPr>
      </w:pPr>
      <w:r>
        <w:rPr>
          <w:rFonts w:hint="eastAsia" w:ascii="Times New Roman" w:hAnsi="Times New Roman" w:eastAsia="仿宋" w:cs="宋体"/>
          <w:kern w:val="0"/>
          <w:sz w:val="28"/>
          <w:szCs w:val="29"/>
          <w:shd w:val="clear" w:color="auto" w:fill="FFFFFF"/>
        </w:rPr>
        <w:t>30.大数据与思想政治教育创新研究</w:t>
      </w:r>
    </w:p>
    <w:p>
      <w:pPr>
        <w:spacing w:line="540" w:lineRule="exact"/>
        <w:ind w:right="640" w:firstLine="566" w:firstLineChars="177"/>
        <w:rPr>
          <w:rFonts w:ascii="Times New Roman" w:hAnsi="Times New Roman" w:eastAsia="仿宋" w:cs="宋体"/>
          <w:kern w:val="0"/>
          <w:sz w:val="32"/>
          <w:szCs w:val="29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6429D"/>
    <w:rsid w:val="2006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2021-03-08T02:13:00Z</dcterms:created>
  <dc:creator>上下求索</dc:creator>
  <cp:lastModifiedBy>上下求索</cp:lastModifiedBy>
  <dcterms:modified xsi:type="dcterms:W3CDTF">2021-03-08T02:14:35Z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